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531EDA">
              <w:rPr>
                <w:color w:val="0D0D0D" w:themeColor="text1" w:themeTint="F2"/>
                <w:sz w:val="28"/>
                <w:szCs w:val="28"/>
              </w:rPr>
              <w:t>8</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531EDA" w:rsidRDefault="00531EDA" w:rsidP="00531EDA">
      <w:pPr>
        <w:ind w:left="567" w:right="4251"/>
        <w:rPr>
          <w:sz w:val="28"/>
          <w:szCs w:val="28"/>
        </w:rPr>
      </w:pPr>
      <w:r>
        <w:rPr>
          <w:sz w:val="28"/>
          <w:szCs w:val="28"/>
        </w:rPr>
        <w:t>Об определении уполномоченного органа на осуществление функций по организации регулярных перевозок</w:t>
      </w:r>
    </w:p>
    <w:p w:rsidR="00531EDA" w:rsidRDefault="00531EDA" w:rsidP="00531EDA">
      <w:pPr>
        <w:rPr>
          <w:sz w:val="28"/>
          <w:szCs w:val="28"/>
        </w:rPr>
      </w:pPr>
    </w:p>
    <w:p w:rsidR="00531EDA" w:rsidRDefault="00531EDA" w:rsidP="00531EDA">
      <w:pPr>
        <w:rPr>
          <w:sz w:val="28"/>
          <w:szCs w:val="28"/>
        </w:rPr>
      </w:pPr>
    </w:p>
    <w:p w:rsidR="00531EDA" w:rsidRDefault="00531EDA" w:rsidP="00531EDA">
      <w:pPr>
        <w:ind w:firstLine="567"/>
        <w:jc w:val="both"/>
        <w:rPr>
          <w:sz w:val="28"/>
          <w:szCs w:val="28"/>
        </w:rPr>
      </w:pPr>
      <w:r>
        <w:rPr>
          <w:sz w:val="28"/>
          <w:szCs w:val="28"/>
        </w:rPr>
        <w:t xml:space="preserve">В соответствии со статьями 3, 11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Кичменгско-Городецкого муниципального района Муниципальное Собрание Кичменгско-Городецкого муниципального района </w:t>
      </w:r>
      <w:r w:rsidRPr="00270D1C">
        <w:rPr>
          <w:b/>
          <w:sz w:val="28"/>
          <w:szCs w:val="28"/>
        </w:rPr>
        <w:t>РЕШИЛО</w:t>
      </w:r>
      <w:r>
        <w:rPr>
          <w:sz w:val="28"/>
          <w:szCs w:val="28"/>
        </w:rPr>
        <w:t>:</w:t>
      </w:r>
    </w:p>
    <w:p w:rsidR="00531EDA" w:rsidRPr="00531EDA" w:rsidRDefault="00531EDA" w:rsidP="00531EDA">
      <w:pPr>
        <w:pStyle w:val="a5"/>
        <w:numPr>
          <w:ilvl w:val="0"/>
          <w:numId w:val="3"/>
        </w:numPr>
        <w:tabs>
          <w:tab w:val="left" w:pos="284"/>
          <w:tab w:val="left" w:pos="851"/>
        </w:tabs>
        <w:ind w:left="0" w:firstLine="567"/>
        <w:jc w:val="both"/>
        <w:rPr>
          <w:sz w:val="28"/>
          <w:szCs w:val="28"/>
        </w:rPr>
      </w:pPr>
      <w:r w:rsidRPr="00531EDA">
        <w:rPr>
          <w:sz w:val="28"/>
          <w:szCs w:val="28"/>
        </w:rPr>
        <w:t>Определить администрацию Кичменгско-Городецкого муниципального района в лице управления по экономической политике и сельскому хозяйству администрации района уполномоченным органом на осуществление функций по организации регулярных перевозок, возлагаемых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531EDA" w:rsidRPr="00531EDA" w:rsidRDefault="00531EDA" w:rsidP="00531EDA">
      <w:pPr>
        <w:pStyle w:val="a5"/>
        <w:numPr>
          <w:ilvl w:val="0"/>
          <w:numId w:val="3"/>
        </w:numPr>
        <w:tabs>
          <w:tab w:val="left" w:pos="284"/>
          <w:tab w:val="left" w:pos="851"/>
        </w:tabs>
        <w:ind w:left="0" w:firstLine="567"/>
        <w:jc w:val="both"/>
        <w:rPr>
          <w:sz w:val="28"/>
          <w:szCs w:val="28"/>
        </w:rPr>
      </w:pPr>
      <w:r w:rsidRPr="00531EDA">
        <w:rPr>
          <w:sz w:val="28"/>
          <w:szCs w:val="28"/>
        </w:rPr>
        <w:t>Признать утратившим силу решение Муниципального Собрания Кичменгско-Городецкого муниципального района от</w:t>
      </w:r>
      <w:r>
        <w:rPr>
          <w:sz w:val="28"/>
          <w:szCs w:val="28"/>
        </w:rPr>
        <w:t> </w:t>
      </w:r>
      <w:r w:rsidRPr="00531EDA">
        <w:rPr>
          <w:sz w:val="28"/>
          <w:szCs w:val="28"/>
        </w:rPr>
        <w:t>30.09.2016 года №</w:t>
      </w:r>
      <w:r>
        <w:rPr>
          <w:sz w:val="28"/>
          <w:szCs w:val="28"/>
        </w:rPr>
        <w:t> </w:t>
      </w:r>
      <w:r w:rsidRPr="00531EDA">
        <w:rPr>
          <w:sz w:val="28"/>
          <w:szCs w:val="28"/>
        </w:rPr>
        <w:t>294 «Об определении уполномоченного органа на осуществление функций по организации регулярных перевозок».</w:t>
      </w:r>
    </w:p>
    <w:p w:rsidR="00531EDA" w:rsidRPr="00531EDA" w:rsidRDefault="00531EDA" w:rsidP="00531EDA">
      <w:pPr>
        <w:pStyle w:val="a5"/>
        <w:numPr>
          <w:ilvl w:val="0"/>
          <w:numId w:val="3"/>
        </w:numPr>
        <w:tabs>
          <w:tab w:val="left" w:pos="284"/>
          <w:tab w:val="left" w:pos="851"/>
        </w:tabs>
        <w:ind w:left="0" w:firstLine="567"/>
        <w:jc w:val="both"/>
        <w:rPr>
          <w:sz w:val="28"/>
          <w:szCs w:val="28"/>
        </w:rPr>
      </w:pPr>
      <w:r w:rsidRPr="00531EDA">
        <w:rPr>
          <w:sz w:val="28"/>
          <w:szCs w:val="28"/>
        </w:rPr>
        <w:lastRenderedPageBreak/>
        <w:t>Настоящее решение вступает в силу со дня его официального опубликования в районной газете «Заря Севера» и распространяется на правоотношения, возникшие с 30 сентября 2016 года.</w:t>
      </w:r>
    </w:p>
    <w:p w:rsidR="000D11E0" w:rsidRDefault="000D11E0" w:rsidP="000D11E0">
      <w:pPr>
        <w:ind w:left="60"/>
        <w:rPr>
          <w:sz w:val="28"/>
          <w:szCs w:val="28"/>
        </w:rPr>
      </w:pPr>
    </w:p>
    <w:p w:rsidR="00531EDA" w:rsidRPr="00330807" w:rsidRDefault="00531EDA" w:rsidP="000D11E0">
      <w:pPr>
        <w:ind w:left="60"/>
        <w:rPr>
          <w:sz w:val="28"/>
          <w:szCs w:val="28"/>
        </w:rPr>
      </w:pPr>
    </w:p>
    <w:p w:rsidR="000D11E0" w:rsidRDefault="000D11E0" w:rsidP="000D11E0">
      <w:pPr>
        <w:ind w:left="60"/>
        <w:rPr>
          <w:sz w:val="28"/>
          <w:szCs w:val="28"/>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w:t>
      </w:r>
      <w:r w:rsidR="00531EDA">
        <w:rPr>
          <w:sz w:val="28"/>
          <w:szCs w:val="28"/>
        </w:rPr>
        <w:t> </w:t>
      </w:r>
      <w:r>
        <w:rPr>
          <w:sz w:val="28"/>
          <w:szCs w:val="28"/>
        </w:rPr>
        <w:t>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89" w:rsidRDefault="001D4589" w:rsidP="006B1A05">
      <w:r>
        <w:separator/>
      </w:r>
    </w:p>
  </w:endnote>
  <w:endnote w:type="continuationSeparator" w:id="0">
    <w:p w:rsidR="001D4589" w:rsidRDefault="001D458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89" w:rsidRDefault="001D4589" w:rsidP="006B1A05">
      <w:r>
        <w:separator/>
      </w:r>
    </w:p>
  </w:footnote>
  <w:footnote w:type="continuationSeparator" w:id="0">
    <w:p w:rsidR="001D4589" w:rsidRDefault="001D458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766F4B">
        <w:pPr>
          <w:pStyle w:val="a8"/>
          <w:jc w:val="center"/>
        </w:pPr>
        <w:fldSimple w:instr=" PAGE   \* MERGEFORMAT ">
          <w:r w:rsidR="00531EDA">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7FE2678"/>
    <w:multiLevelType w:val="hybridMultilevel"/>
    <w:tmpl w:val="4C4A2E0A"/>
    <w:lvl w:ilvl="0" w:tplc="40349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589"/>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533"/>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1EDA"/>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6F4B"/>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78777-656B-43DB-9898-E06B1208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2016-11-23T11:34:00Z</cp:lastPrinted>
  <dcterms:created xsi:type="dcterms:W3CDTF">2016-11-25T12:43:00Z</dcterms:created>
  <dcterms:modified xsi:type="dcterms:W3CDTF">2016-11-25T12:55:00Z</dcterms:modified>
</cp:coreProperties>
</file>