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52" w:rsidRDefault="00322852" w:rsidP="00322852">
      <w:pPr>
        <w:ind w:firstLine="37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распоряжением контрольно-ревизионной комиссии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Муниципального Собрания </w:t>
      </w:r>
    </w:p>
    <w:p w:rsidR="006A18E9" w:rsidRPr="006A18E9" w:rsidRDefault="00322852" w:rsidP="00322852">
      <w:pPr>
        <w:ind w:firstLine="37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Кичменгско-Городецкого муниципального района</w:t>
      </w:r>
      <w:r w:rsidR="006A18E9"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февраля 2019</w:t>
      </w:r>
      <w:r w:rsidR="006A18E9" w:rsidRP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P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E51AF1" w:rsidRDefault="00E51AF1" w:rsidP="006A18E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18E9" w:rsidRPr="006A18E9" w:rsidRDefault="006A18E9" w:rsidP="006A18E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Стандарт </w:t>
      </w: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внешнего </w:t>
      </w:r>
      <w:r w:rsidR="002763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финансового контроля </w:t>
      </w: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«Проведение аудита в сфере закупок товаров, работ, услуг»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A18E9" w:rsidRPr="006A18E9" w:rsidRDefault="006A18E9" w:rsidP="00CE227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внешнего государственного финансового контроля «Проведение аудита в сфере закупок товаров, работ, услуг», (далее – Стандарт)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со статьей 98 Федерального закона от 5 апреля 2013 года №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 «О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контрактной системе в сфере закупок товаров, работ услуг для обеспечения государственных и муниципальных нужд» (далее – Закон №44-ФЗ), статьей 11 Федерального закона </w:t>
      </w:r>
      <w:hyperlink r:id="rId7" w:history="1">
        <w:r w:rsidRPr="003228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7 февраля 2011 года №</w:t>
        </w:r>
        <w:r w:rsidR="00322852" w:rsidRPr="003228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3228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6-ФЗ</w:t>
        </w:r>
      </w:hyperlink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общих принципах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деятельности контрольно-счетных органов субъектов Российской Федерации и муниципальных образований», статьей 12 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контрольно-ревизионной комиссии, утвержденного решением Муниципального Собрания Кичменгско-Городецкого муниципального района от 08.12.2011 № 208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контрольно-ревизионной комиссии Муниципального Собрания Кичменгско-Городецкого муниципального района» (далее – Положение о 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образований, утвержденными Коллегией Счетной палаты РФ (протокол от 17.10.2014 № 47К (993)).</w:t>
      </w:r>
    </w:p>
    <w:p w:rsidR="006A18E9" w:rsidRPr="006A18E9" w:rsidRDefault="006A18E9" w:rsidP="00CE227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Целью Стандарта является установление общих требований, правил и процедур осуществления 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комиссии Муниципального Собрания Кичменгско-Городецкого муниципального района</w:t>
      </w:r>
      <w:r w:rsidR="00322852"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) аудита в сфере закупок товаров, работ, услуг (далее – аудит в сфере закупок).</w:t>
      </w:r>
    </w:p>
    <w:p w:rsidR="006A18E9" w:rsidRPr="006A18E9" w:rsidRDefault="006A18E9" w:rsidP="00CE227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предназначен для использо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должностными лицами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организации и проведении аудита в сфере закупок, осуществляемого в соответствии с законодательством о контрактной системе в сфере закупок, в том числе при проведении комплекса контрольных и экспертно-аналитических мероприятий по контролю за использованием средств </w:t>
      </w:r>
      <w:r w:rsidR="003228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бюджета,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при проведении иных проверок, в которых деятельность в сфере закупок проверяется как одна из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составляющих деятельности объекта аудита (контроля).</w:t>
      </w:r>
    </w:p>
    <w:p w:rsidR="006A18E9" w:rsidRPr="006A18E9" w:rsidRDefault="006A18E9" w:rsidP="00CE227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CE227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по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межбюджетных трансферто</w:t>
      </w:r>
      <w:r w:rsidR="00CE227B">
        <w:rPr>
          <w:rFonts w:ascii="Times New Roman" w:eastAsia="Times New Roman" w:hAnsi="Times New Roman" w:cs="Times New Roman"/>
          <w:sz w:val="26"/>
          <w:szCs w:val="26"/>
          <w:lang w:eastAsia="ru-RU"/>
        </w:rPr>
        <w:t>в, предоставленных из вышестоящих бюджетов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</w:t>
      </w:r>
      <w:r w:rsidR="00CE22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проверок местного бюджета в случаях, установленных Бюджетным кодексом Российской Федерации, настоящий Стандарт применяется в части, касающейся закупок товаров, работ, услуг для обеспечения муниципальных нужд.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Содержание аудита в сфере закупок</w:t>
      </w:r>
    </w:p>
    <w:p w:rsidR="006A18E9" w:rsidRPr="006A18E9" w:rsidRDefault="006A18E9" w:rsidP="00CE227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аудита в сфере закупок </w:t>
      </w:r>
      <w:r w:rsidR="00CE22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контрольно-ревизионная комиссия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</w:t>
      </w:r>
      <w:proofErr w:type="gramEnd"/>
    </w:p>
    <w:p w:rsidR="006A18E9" w:rsidRPr="006A18E9" w:rsidRDefault="00CE227B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КРК района</w:t>
      </w:r>
      <w:r w:rsidR="006A18E9"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проведения аудита в сфере закупок оценке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Предметом аудита в сфере закупок является процесс использования объектом аудита (контроля) средств </w:t>
      </w:r>
      <w:r w:rsidR="00DC7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бюджета,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отдельных случаях средств местных бюджетов, направляемых на закупки (далее – бюджетные средства) в соответствии с требованиями законодательства о контрактной системе в сфере закупок.</w:t>
      </w:r>
    </w:p>
    <w:p w:rsidR="006A18E9" w:rsidRPr="006A18E9" w:rsidRDefault="006A18E9" w:rsidP="00DC7EF6">
      <w:pPr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Задачами аудита в сфере закупок являются: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  <w:proofErr w:type="gramEnd"/>
    </w:p>
    <w:p w:rsidR="006A18E9" w:rsidRPr="006A18E9" w:rsidRDefault="006A18E9" w:rsidP="00DC7EF6">
      <w:pPr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  <w:proofErr w:type="gramEnd"/>
    </w:p>
    <w:p w:rsidR="006A18E9" w:rsidRPr="006A18E9" w:rsidRDefault="006A18E9" w:rsidP="00DC7EF6">
      <w:pPr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предложений по устранению выявленных отклонений, нарушений и недостатков;</w:t>
      </w:r>
    </w:p>
    <w:p w:rsidR="006A18E9" w:rsidRPr="006A18E9" w:rsidRDefault="006A18E9" w:rsidP="00DC7EF6">
      <w:pPr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  <w:proofErr w:type="gramEnd"/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В процессе проведения аудита в сфере закупок в пределах полномочий </w:t>
      </w:r>
      <w:r w:rsidR="00DC7EF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проверяются, анализируются и оцениваются: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процесс использования бюджетных средств начиная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этапа планирования;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ведомственного контроля в сфере закупок;</w:t>
      </w:r>
    </w:p>
    <w:p w:rsidR="006A18E9" w:rsidRPr="006A18E9" w:rsidRDefault="006A18E9" w:rsidP="00DC7EF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контроля в сфере закупок, осуществляемого объектом аудита (контроля).</w:t>
      </w:r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анализе и оценке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организации закупочной деятельности объекта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Итогом аудита в сфере закупок должна стать оценка уровня обеспечения </w:t>
      </w:r>
      <w:r w:rsidR="00DC7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 с учетом затрат бюджетных средств, обоснованности планирования, включая обоснование закупки, реализуемости и эффективности осуществления закупок.</w:t>
      </w:r>
      <w:proofErr w:type="gramEnd"/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 в сфере закупок, сведения о которых составляют государственную тайну, осуществляется в соответствии с Законом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6A18E9" w:rsidRPr="006A18E9" w:rsidRDefault="006A18E9" w:rsidP="004119C6">
      <w:pPr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Объектами аудита (контроля) в сфере закупок являются:</w:t>
      </w:r>
    </w:p>
    <w:p w:rsidR="006A18E9" w:rsidRPr="006A18E9" w:rsidRDefault="006A18E9" w:rsidP="004119C6">
      <w:pPr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контрактной системы 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закупок (муниципальные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заказчики, заказчики, уполномоченный орган, уполномоченные учреждения, специализированные организации, поставщики, получатели товаров, ра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бот, услуг по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льному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контракту), на которых распространяются контрольные полномочия 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установленные Бюджетным кодексом Российской 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Положением о 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18E9" w:rsidRPr="006A18E9" w:rsidRDefault="006A18E9" w:rsidP="004119C6">
      <w:pPr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рамках контрольных и экспертно-аналитических мероприятий оцениваются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объекта контроля,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объектом контроля.</w:t>
      </w:r>
    </w:p>
    <w:p w:rsidR="006A18E9" w:rsidRDefault="006A18E9" w:rsidP="004119C6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В целях методологического обеспечения деятельности 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разрабатываются и утверждаются </w:t>
      </w:r>
      <w:hyperlink r:id="rId8" w:history="1">
        <w:r w:rsidRPr="004119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Методические рекомендации по проведению аудита в сфере закупок</w:t>
        </w:r>
      </w:hyperlink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иные методические документы.</w:t>
      </w:r>
    </w:p>
    <w:p w:rsidR="004119C6" w:rsidRPr="006A18E9" w:rsidRDefault="004119C6" w:rsidP="004119C6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9C6" w:rsidRDefault="006A18E9" w:rsidP="004119C6">
      <w:pPr>
        <w:ind w:firstLine="37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Законность, целесообразность, обоснованность, своевременность, эффективность, результативность и реализуемость </w:t>
      </w:r>
    </w:p>
    <w:p w:rsidR="006A18E9" w:rsidRPr="006A18E9" w:rsidRDefault="006A18E9" w:rsidP="004119C6">
      <w:pPr>
        <w:ind w:firstLine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осуществлен</w:t>
      </w:r>
      <w:proofErr w:type="gramStart"/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ии ау</w:t>
      </w:r>
      <w:proofErr w:type="gramEnd"/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дита в сфере закупок</w:t>
      </w:r>
    </w:p>
    <w:p w:rsidR="004119C6" w:rsidRDefault="004119C6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6A18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 законностью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закупки понимается соблюдение участниками контрактной системы в сфере закупок законодательства о контрактной системе в сфере закупок.</w:t>
      </w:r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законодательства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  <w:proofErr w:type="gramEnd"/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 целесообразностью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закупки понимается наличие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обоснованных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нужд, обеспечиваемых посредством достижения целей и реализ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мероприятий муниципальных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рамм Кичменгско-Городецкого муниципального района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документов стратегического и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но-целевого планирования муниципального района,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ыполнения функций и полномочий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области.</w:t>
      </w:r>
      <w:proofErr w:type="gramEnd"/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 обоснованностью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Закона № 44-ФЗ, а также законодательству о контрактной системе в сфере закупок.</w:t>
      </w:r>
      <w:proofErr w:type="gramEnd"/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 своевременностью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закупки понимается установление и соблюдение объектом контроля сроков, достаточных для реализации закупки и достижения целей осуществления закупки в надлежащее время и с минимальными издержками.</w:t>
      </w:r>
      <w:proofErr w:type="gramEnd"/>
    </w:p>
    <w:p w:rsidR="004119C6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</w:t>
      </w:r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  <w:proofErr w:type="gramEnd"/>
    </w:p>
    <w:p w:rsidR="006A18E9" w:rsidRPr="006A18E9" w:rsidRDefault="006A18E9" w:rsidP="004119C6">
      <w:pPr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 эффективностью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закупки понимается осуществление закупок исходя из необходимости достижения заданных результ</w:t>
      </w:r>
      <w:r w:rsidR="004119C6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обеспечения муниципальных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 с использованием наименьшего объема средств.</w:t>
      </w:r>
      <w:proofErr w:type="gramEnd"/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 результативностью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  <w:proofErr w:type="gramEnd"/>
    </w:p>
    <w:p w:rsidR="004119C6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измеряется соотношением плановых (заданных) и фактических результатов. </w:t>
      </w:r>
    </w:p>
    <w:p w:rsidR="004119C6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</w:t>
      </w:r>
      <w:proofErr w:type="gramEnd"/>
    </w:p>
    <w:p w:rsidR="00E51AF1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:rsidR="006A18E9" w:rsidRPr="006A18E9" w:rsidRDefault="006A18E9" w:rsidP="004119C6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оценке результативности закупок следует определить, чьи действия (бездействие) привели к </w:t>
      </w:r>
      <w:proofErr w:type="spell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недостижению</w:t>
      </w:r>
      <w:proofErr w:type="spell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) целей закупок от иных факторов помимо закупок.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6A18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 реализуемостью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достижения целей и результатов закупок.</w:t>
      </w:r>
    </w:p>
    <w:p w:rsidR="00E51AF1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Причинами </w:t>
      </w:r>
      <w:proofErr w:type="spell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нереализуемости</w:t>
      </w:r>
      <w:proofErr w:type="spell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невыделение</w:t>
      </w:r>
      <w:proofErr w:type="spell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объекта контроля условий для использования результатов закупок. </w:t>
      </w:r>
      <w:proofErr w:type="gramEnd"/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Закупка признается нереализуемой, если она не может быть осуществлена по причинам, независящим от действий (бездействия) объекта контроля, уполномоченного органа (учреждения), специализированной организации.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Контрольная деятельность в рамках аудита в сфере закупок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объекта контроля (о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  <w:proofErr w:type="gramEnd"/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о контрактной системе при осуществлении закупок.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и процедуры осуществления контрольных мероприятий установлены Стандартом внешнего 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hyperlink r:id="rId9" w:history="1">
        <w:r w:rsidRPr="00E51A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Общие правила проведения контрольного мероприятия</w:t>
        </w:r>
      </w:hyperlink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</w:t>
      </w:r>
    </w:p>
    <w:p w:rsid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E51AF1" w:rsidRPr="006A18E9" w:rsidRDefault="00E51AF1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4.1. Подготовка к проведению контрольного мероприятия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4.1.3. Для изучения специфики объекта аудита (контроля) и условий его деятельности должностные лица 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определить нормативные правовые акты, регулирующие вопросы осуществл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закупок для муниципальных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 с учетом специфики деятельности объекта аудита (контроля).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ля) должностные лица КРК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 единую информационную систему в сфере закупок, функционал которой определен статьей 4 Закона № 44-ФЗ.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определения источников информации должностные лица 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учитывать, что в соответствии с требованиями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</w:t>
      </w:r>
      <w:proofErr w:type="gramEnd"/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 Анализ и оценка закупочной деятельности объекта аудита (контроля)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обоснованности планирования закупок товаров, р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 и услуг для муниципальных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нужд, реализуемости и эффективности осуществления указанных закупок должностные лица 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  <w:proofErr w:type="gramEnd"/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дита в сфере закупок должностные лица 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района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анализировать и оценивать соблюдение требований Закона № 44-ФЗ лишь в той степени, в какой это отвечает целям аудита в сфере закупок.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4.2.1. Анализ системы организации закупок товаров, работ, услуг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анализа системы организации закупок товаров, работ, услуг должностным лицам 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о контрактной системе в сфере закупок внутренних документов объекта аудита (контроля), устанавливающих:</w:t>
      </w:r>
      <w:proofErr w:type="gramEnd"/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 контрактной службы (назначение контрактных управляющих);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 должностных регламентах </w:t>
      </w:r>
      <w:r w:rsidR="00E51AF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 комиссии (комиссий) по осуществлению закупок;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выбора и функции специализированной организации (при осуществлении такого выбора);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централизованных закупок (при осуществлении таких закупок);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6A18E9" w:rsidRPr="006A18E9" w:rsidRDefault="006A18E9" w:rsidP="00E51AF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ведомственного контроля в сфере закупок в отношении подведомственных заказчиков.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4.2.2. Анализ системы планирования закупок товаров, работ, услуг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4.2.2.1. В ходе анализа системы планирования объектом аудита (контроля) закупок товаров, работ, ус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 должностные лица 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контрольные действия в отношении планов закупок, планов-графиков закупок, обоснования закупок.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о контрактной системе в сфере закупок.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4.2.2.2.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формирования плана закупок объектами аудита (контроля) должностные лица 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о контрактной системе в сфере закупок.</w:t>
      </w:r>
      <w:proofErr w:type="gramEnd"/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формирования плана-графика закупок объектами аудита (контро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ля) должностные лица 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контрольного мероприятия целесообразно оценить качество планирования закупок объектом аудита (контроля)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4.2.2.3.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контрольных действий должностные лица 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района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</w:t>
      </w:r>
      <w:proofErr w:type="gramEnd"/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делают вывод об обоснованности планируемых закупок, устанавливают соответствие порядка и формы обоснования закупки законодательству о контрактной системе в сфере закупок.</w:t>
      </w:r>
      <w:proofErr w:type="gramEnd"/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4.2.3. Проверка процедур определения поставщика (подрядчика, исполнителя)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4.2.3.1. В ходе проверки процедур определения поставщика (подрядчика, исполнителя) должностные лица 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4.2.3.2. Контрольными действиями должностные лица 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района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устанавливают: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участника закупки требованиям, установленным законодательством о контрактной системе в сфере закупок;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  <w:proofErr w:type="gramEnd"/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  <w:proofErr w:type="gramEnd"/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жалоб участников закупок в органы контроля в сфере закупок;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согласования заключения контракта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согласования применения закрытого способа определения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поставщиков (подрядчиков, исполнителей) с контрольным органом в сфере закупок;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сроков заключения контракта;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обеспечения исполнения контракта;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обеспечения исполнения контракта (банковской гарантии) требованиям Закона № 44-ФЗ в случае, если обеспечением исполнения контракта является банковская гарантия;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возврата участникам закупки денежных средств, внесенных в качестве обеспечения заявок.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4.2.3.3. При осуществлении анал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 должностные лица 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оценивают соблюдение объектом аудита (контроля) принципа обеспечения конкуренции в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со статьей 17 Федерального закона от 26 июля 2006 №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135-ФЗ «О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 конкуренции».</w:t>
      </w:r>
    </w:p>
    <w:p w:rsid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Должностными лицами 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делается вывод о соответствии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контрактной системе в сфере закупок определения поставщика (подрядчика, исполнителя), проведенного объектом аудита (контроля).</w:t>
      </w:r>
    </w:p>
    <w:p w:rsidR="00C94365" w:rsidRPr="006A18E9" w:rsidRDefault="00C94365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8E9" w:rsidRDefault="006A18E9" w:rsidP="00C94365">
      <w:pPr>
        <w:ind w:firstLine="37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4.2.4. Проверка исполнения контрактов на поставку товаров, выполнение работ, оказание услуг</w:t>
      </w:r>
    </w:p>
    <w:p w:rsidR="00C94365" w:rsidRPr="006A18E9" w:rsidRDefault="00C94365" w:rsidP="00C94365">
      <w:pPr>
        <w:ind w:firstLine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4.2.4.1. В ходе проверки исполнения контрактов на поставку товаров, выполнение работ, оказание усл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 должностные лица КРК района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контрольные действия в отношении документации объекта аудита (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контроля) по исполнению муниципальных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и в отношении полученных результатов закупки товара, работы, услуги.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4.2.4.2. Контрольными действиями должностные лица 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устанавливают: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  <w:proofErr w:type="gramEnd"/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заключения эксперта (или экспертной организации);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законность и действенность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 обеспечения исполнения контракта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Законом № 44-ФЗ);</w:t>
      </w:r>
      <w:proofErr w:type="gramEnd"/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нарушений порядка оплаты товаров (работ, услуг) по контракту;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4.2.4.3.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проведенного анализа должностными лицами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КРК района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делается вывод о соответствии результата закупки заключенному контракту на поставку товаров, выполнение работ, оказание услуг и законодательству о контрактной системе в сфере закупок.</w:t>
      </w:r>
      <w:proofErr w:type="gramEnd"/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4.2.5. Анализ эффективности расходов на закупки товаров, работ, услуг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4.2.5.2. При оценке эффективности расходов на закупки должностным лицам 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должностных лиц 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требованиям статьи 22 Закона № 44-ФЗ;</w:t>
      </w:r>
      <w:proofErr w:type="gramEnd"/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  <w:proofErr w:type="gramEnd"/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4.2.5.3. В процессе анализа эффективности расходов на заку</w:t>
      </w:r>
      <w:r w:rsidR="00C94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пки должностные лица КРК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оценивают отдельные процессы и всю систему закупок товаров, работ, услуг в целом,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действует у объекта аудита (контроля), анализируют фактическое использование приобретенных товаров, работ, услуг объектом аудита (контроля).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4.3. Подведение итогов контрольного мероприятия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подведении итогов контрольного мероприятия обобщаются результаты проведения аудита, подготавливается отчет о проведенном аудите, в том числе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порядок составления отчета об основных итогах контрольного мероприятия и форма отчета приведены в </w:t>
      </w:r>
      <w:r w:rsidRP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1</w:t>
      </w:r>
      <w:r w:rsidR="00DA53B0" w:rsidRP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Стандарта внешнего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«Общие правила проведения контрольного мероприятия».</w:t>
      </w:r>
    </w:p>
    <w:p w:rsidR="006A18E9" w:rsidRPr="006A18E9" w:rsidRDefault="006A18E9" w:rsidP="00C9436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раздела акта и отчета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аудита в сфере закупок приведена в </w:t>
      </w:r>
      <w:hyperlink r:id="rId10" w:anchor="pril" w:history="1">
        <w:r w:rsidRPr="00DA53B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к Стандарту</w:t>
        </w:r>
        <w:proofErr w:type="gramEnd"/>
      </w:hyperlink>
      <w:r w:rsidRP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Экспертно-аналитическая деятельность в рамках аудита в сфере закупок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  <w:proofErr w:type="gramEnd"/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«Проведение экспертно-аналитического мероприятия».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  <w:proofErr w:type="gramEnd"/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рамках экспертно-аналитического мероприятия в отношении отдельных групп товаров, работ, ус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 должностные лица 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анализируют: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о контрактной системе, регулирующее рынок отдельных групп товаров, работ и услуг, включая особенности осуществления закупок данных товаров, работ, услуг;</w:t>
      </w:r>
      <w:proofErr w:type="gramEnd"/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 структуру закупок отдельных групп товаров, работ и услуг для обеспечения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  <w:proofErr w:type="gramEnd"/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о контрактной системе в сфере закупок).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рамках экспертно-аналитического мероприятия в целях мониторинга развития контрактной системы в сфере заку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 должностные лица 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анализируют: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о контрактной системе в сфере закупок;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и структуру закупок для обеспечения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нужд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, эффективность закупок в части достижения экономии по результатам осуществления закупок;</w:t>
      </w:r>
      <w:proofErr w:type="gramEnd"/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систему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закупочной деятельности участников контрактной системы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закупок;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орга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исполнительной власти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регулированию контрактной системы в сфере закупок;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функционирование единой информационной системы в сфере закупок;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контрольных мероприятий в части аудита в сфере закупок (с учетом систематизации выявленных отклонений, недостатков и нарушений законодательства о контрактной системе в сфере закупок).</w:t>
      </w:r>
      <w:proofErr w:type="gramEnd"/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Заключение о результатах экспертно-аналитического мероприятия должно содержать рекомендации и (или) предложения об устранении нарушений и недостатков, выявленных в результате проведения аудита в сфере закупок, и рекомендации и (или) предложения, направленные на совершенствование контрактной системы.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Информационная деятельность в рамках аудита в сфере закупок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98 Закона №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КРК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предложений и размещает в единой информационной системе в сфере закупок обобщенную информацию о таких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в единой информационной системе обобщается информация из отчетов и заключений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период, а также информация, полученная по запросам уполномоченных контролирующих органов в сфере закупок и органа, осуществляющего мониторинг в сфере закупок и из иных общедоступных источников (раз в год).</w:t>
      </w:r>
      <w:proofErr w:type="gramEnd"/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Обобщенная информация подлежит включению в состав годового отчета о работе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комиссии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размещается в единой информационной системе после его рассмотрения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Собранием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Кичменгско-Городецкого муниципального района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18E9" w:rsidRPr="006A18E9" w:rsidRDefault="006A18E9" w:rsidP="006A18E9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</w:t>
      </w:r>
      <w:proofErr w:type="gramStart"/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реализацией результатов аудита в сфере закупок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 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планировании будущих контрольных и экспертно-аналитических мероприятий.</w:t>
      </w:r>
    </w:p>
    <w:p w:rsidR="006A18E9" w:rsidRP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7.2. 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информационных писем К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РК 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:rsidR="006A18E9" w:rsidRDefault="006A18E9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Общие вопросы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результатов контрольного или экспертно-аналитического мероприятия в рамках</w:t>
      </w:r>
      <w:r w:rsidR="006E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в сфере закупок излагаются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ндарте внешнего муниципального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DA53B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контроля</w:t>
      </w:r>
      <w:r w:rsidR="006E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«Контроль реализации результатов контрольных и экспертно-аналитических мероприятий»</w:t>
      </w: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B0" w:rsidRDefault="00DA53B0" w:rsidP="00DA53B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8E9" w:rsidRPr="006A18E9" w:rsidRDefault="006A18E9" w:rsidP="006A18E9">
      <w:pPr>
        <w:spacing w:before="100" w:beforeAutospacing="1" w:after="100" w:afterAutospacing="1"/>
        <w:ind w:firstLine="37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ril"/>
      <w:bookmarkEnd w:id="0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Стандарту</w:t>
      </w:r>
    </w:p>
    <w:p w:rsidR="00FE2EAD" w:rsidRDefault="006A18E9" w:rsidP="00FE2EAD">
      <w:pPr>
        <w:ind w:firstLine="37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 раздела акта и отчета (заключения) </w:t>
      </w:r>
    </w:p>
    <w:p w:rsidR="006A18E9" w:rsidRPr="006A18E9" w:rsidRDefault="006A18E9" w:rsidP="00FE2EAD">
      <w:pPr>
        <w:ind w:firstLine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результатах аудита в сфере закупок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  <w:proofErr w:type="gramEnd"/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  <w:proofErr w:type="gramEnd"/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системы организации закупочной деятельности объекта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недостижение</w:t>
      </w:r>
      <w:proofErr w:type="spell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целей закупки.</w:t>
      </w:r>
      <w:proofErr w:type="gramEnd"/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количества и объема закупок объекта аудита (контроля), в которых выявлены нарушения законодательства Российской Федерации 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  <w:proofErr w:type="gramEnd"/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6A18E9" w:rsidRPr="006A18E9" w:rsidRDefault="006A18E9" w:rsidP="006A18E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</w:t>
      </w:r>
      <w:proofErr w:type="gramStart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аудита в сфере закупок с указанием причин выявленных у объекта</w:t>
      </w:r>
      <w:proofErr w:type="gramEnd"/>
      <w:r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(контроля) отклонений, нарушений и недостатков.</w:t>
      </w:r>
    </w:p>
    <w:sectPr w:rsidR="006A18E9" w:rsidRPr="006A18E9" w:rsidSect="006A18E9">
      <w:headerReference w:type="default" r:id="rId11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02" w:rsidRDefault="00086A02" w:rsidP="006A18E9">
      <w:r>
        <w:separator/>
      </w:r>
    </w:p>
  </w:endnote>
  <w:endnote w:type="continuationSeparator" w:id="0">
    <w:p w:rsidR="00086A02" w:rsidRDefault="00086A02" w:rsidP="006A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02" w:rsidRDefault="00086A02" w:rsidP="006A18E9">
      <w:r>
        <w:separator/>
      </w:r>
    </w:p>
  </w:footnote>
  <w:footnote w:type="continuationSeparator" w:id="0">
    <w:p w:rsidR="00086A02" w:rsidRDefault="00086A02" w:rsidP="006A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8273"/>
      <w:docPartObj>
        <w:docPartGallery w:val="Page Numbers (Top of Page)"/>
        <w:docPartUnique/>
      </w:docPartObj>
    </w:sdtPr>
    <w:sdtContent>
      <w:p w:rsidR="00C94365" w:rsidRDefault="00C94365">
        <w:pPr>
          <w:pStyle w:val="a5"/>
        </w:pPr>
        <w:fldSimple w:instr=" PAGE   \* MERGEFORMAT ">
          <w:r w:rsidR="006E4867">
            <w:rPr>
              <w:noProof/>
            </w:rPr>
            <w:t>13</w:t>
          </w:r>
        </w:fldSimple>
      </w:p>
    </w:sdtContent>
  </w:sdt>
  <w:p w:rsidR="00C94365" w:rsidRDefault="00C943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B87"/>
    <w:multiLevelType w:val="multilevel"/>
    <w:tmpl w:val="5C3E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E9"/>
    <w:rsid w:val="00014885"/>
    <w:rsid w:val="00086A02"/>
    <w:rsid w:val="00276350"/>
    <w:rsid w:val="002D7A8F"/>
    <w:rsid w:val="00322852"/>
    <w:rsid w:val="004119C6"/>
    <w:rsid w:val="00522060"/>
    <w:rsid w:val="005F75B5"/>
    <w:rsid w:val="00684E31"/>
    <w:rsid w:val="006A18E9"/>
    <w:rsid w:val="006E4867"/>
    <w:rsid w:val="00700319"/>
    <w:rsid w:val="007D07B6"/>
    <w:rsid w:val="00872298"/>
    <w:rsid w:val="00910F7F"/>
    <w:rsid w:val="00B61B74"/>
    <w:rsid w:val="00C563D4"/>
    <w:rsid w:val="00C94365"/>
    <w:rsid w:val="00CE227B"/>
    <w:rsid w:val="00DA53B0"/>
    <w:rsid w:val="00DB1120"/>
    <w:rsid w:val="00DC7EF6"/>
    <w:rsid w:val="00E47B9C"/>
    <w:rsid w:val="00E51AF1"/>
    <w:rsid w:val="00EE4170"/>
    <w:rsid w:val="00F1549C"/>
    <w:rsid w:val="00FB54C9"/>
    <w:rsid w:val="00F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6"/>
  </w:style>
  <w:style w:type="paragraph" w:styleId="3">
    <w:name w:val="heading 3"/>
    <w:basedOn w:val="a"/>
    <w:link w:val="30"/>
    <w:uiPriority w:val="9"/>
    <w:qFormat/>
    <w:rsid w:val="006A18E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8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8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A1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8E9"/>
  </w:style>
  <w:style w:type="paragraph" w:styleId="a7">
    <w:name w:val="footer"/>
    <w:basedOn w:val="a"/>
    <w:link w:val="a8"/>
    <w:uiPriority w:val="99"/>
    <w:semiHidden/>
    <w:unhideWhenUsed/>
    <w:rsid w:val="006A1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s/prikaz/audit-zakupo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vo.ru/docs/fz/6fz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pvo.ru/docs/standard/audit-zakup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vo.ru/docs/standard/k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2019-03-22T09:21:00Z</cp:lastPrinted>
  <dcterms:created xsi:type="dcterms:W3CDTF">2019-03-22T06:52:00Z</dcterms:created>
  <dcterms:modified xsi:type="dcterms:W3CDTF">2019-03-22T13:35:00Z</dcterms:modified>
</cp:coreProperties>
</file>