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074CA3" w:rsidRDefault="0005079F" w:rsidP="00300EF7">
      <w:pPr>
        <w:pStyle w:val="ac"/>
        <w:ind w:left="5954"/>
        <w:jc w:val="left"/>
        <w:rPr>
          <w:b w:val="0"/>
          <w:sz w:val="20"/>
        </w:rPr>
      </w:pPr>
      <w:r>
        <w:rPr>
          <w:b w:val="0"/>
          <w:sz w:val="20"/>
        </w:rPr>
        <w:t>Приложение 1</w:t>
      </w:r>
      <w:r w:rsidR="00074CA3">
        <w:rPr>
          <w:b w:val="0"/>
          <w:sz w:val="20"/>
        </w:rPr>
        <w:t>7</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C86D85" w:rsidRPr="00A456D8" w:rsidRDefault="00C86D85" w:rsidP="00300EF7">
      <w:pPr>
        <w:ind w:left="5954"/>
        <w:rPr>
          <w:sz w:val="20"/>
          <w:szCs w:val="20"/>
        </w:rPr>
      </w:pPr>
    </w:p>
    <w:p w:rsidR="00C86D85" w:rsidRPr="00A456D8" w:rsidRDefault="00C86D85" w:rsidP="00300EF7">
      <w:pPr>
        <w:ind w:left="5954"/>
        <w:rPr>
          <w:sz w:val="20"/>
          <w:szCs w:val="20"/>
        </w:rPr>
      </w:pPr>
    </w:p>
    <w:tbl>
      <w:tblPr>
        <w:tblW w:w="10963" w:type="dxa"/>
        <w:tblInd w:w="-1152" w:type="dxa"/>
        <w:tblLayout w:type="fixed"/>
        <w:tblLook w:val="0000"/>
      </w:tblPr>
      <w:tblGrid>
        <w:gridCol w:w="4320"/>
        <w:gridCol w:w="808"/>
        <w:gridCol w:w="1515"/>
        <w:gridCol w:w="540"/>
        <w:gridCol w:w="540"/>
        <w:gridCol w:w="720"/>
        <w:gridCol w:w="1260"/>
        <w:gridCol w:w="1260"/>
      </w:tblGrid>
      <w:tr w:rsidR="0059739F" w:rsidRPr="00082F7B" w:rsidTr="0059739F">
        <w:trPr>
          <w:trHeight w:val="1163"/>
        </w:trPr>
        <w:tc>
          <w:tcPr>
            <w:tcW w:w="10963" w:type="dxa"/>
            <w:gridSpan w:val="8"/>
            <w:tcBorders>
              <w:top w:val="nil"/>
              <w:left w:val="nil"/>
              <w:bottom w:val="nil"/>
              <w:right w:val="nil"/>
            </w:tcBorders>
            <w:shd w:val="clear" w:color="auto" w:fill="auto"/>
            <w:vAlign w:val="center"/>
          </w:tcPr>
          <w:p w:rsidR="0059739F" w:rsidRDefault="0059739F" w:rsidP="0059739F">
            <w:pPr>
              <w:jc w:val="center"/>
              <w:rPr>
                <w:b/>
                <w:bCs/>
                <w:sz w:val="20"/>
                <w:szCs w:val="20"/>
              </w:rPr>
            </w:pPr>
            <w:r w:rsidRPr="00082F7B">
              <w:rPr>
                <w:b/>
                <w:bCs/>
                <w:sz w:val="20"/>
                <w:szCs w:val="20"/>
              </w:rPr>
              <w:t xml:space="preserve">ВЕДОМСТВЕННАЯ СТРУКТУРА РАСХОДОВ РАЙОННОГО БЮДЖЕТА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 </w:t>
            </w:r>
          </w:p>
          <w:p w:rsidR="0059739F" w:rsidRPr="00082F7B" w:rsidRDefault="0059739F" w:rsidP="0059739F">
            <w:pPr>
              <w:jc w:val="center"/>
              <w:rPr>
                <w:b/>
                <w:bCs/>
                <w:sz w:val="20"/>
                <w:szCs w:val="20"/>
              </w:rPr>
            </w:pPr>
            <w:r w:rsidRPr="00082F7B">
              <w:rPr>
                <w:b/>
                <w:bCs/>
                <w:sz w:val="20"/>
                <w:szCs w:val="20"/>
              </w:rPr>
              <w:t xml:space="preserve">НА </w:t>
            </w:r>
            <w:r w:rsidRPr="00312E26">
              <w:rPr>
                <w:b/>
                <w:bCs/>
                <w:sz w:val="20"/>
                <w:szCs w:val="20"/>
              </w:rPr>
              <w:t xml:space="preserve">ПЛАНОВЫЙ ПЕРИОД </w:t>
            </w:r>
            <w:r w:rsidRPr="00312E26">
              <w:rPr>
                <w:b/>
                <w:bCs/>
                <w:sz w:val="28"/>
                <w:szCs w:val="28"/>
              </w:rPr>
              <w:t>2018-2019</w:t>
            </w:r>
            <w:r w:rsidRPr="00312E26">
              <w:rPr>
                <w:b/>
                <w:bCs/>
                <w:sz w:val="20"/>
                <w:szCs w:val="20"/>
              </w:rPr>
              <w:t xml:space="preserve"> ГОДОВ</w:t>
            </w:r>
          </w:p>
        </w:tc>
      </w:tr>
      <w:tr w:rsidR="0059739F" w:rsidRPr="00082F7B" w:rsidTr="0059739F">
        <w:trPr>
          <w:trHeight w:val="375"/>
        </w:trPr>
        <w:tc>
          <w:tcPr>
            <w:tcW w:w="4320" w:type="dxa"/>
            <w:tcBorders>
              <w:top w:val="nil"/>
              <w:left w:val="nil"/>
              <w:bottom w:val="nil"/>
              <w:right w:val="nil"/>
            </w:tcBorders>
            <w:shd w:val="clear" w:color="auto" w:fill="auto"/>
            <w:vAlign w:val="center"/>
          </w:tcPr>
          <w:p w:rsidR="0059739F" w:rsidRPr="00082F7B" w:rsidRDefault="0059739F" w:rsidP="0059739F">
            <w:pPr>
              <w:jc w:val="center"/>
              <w:rPr>
                <w:b/>
                <w:bCs/>
                <w:sz w:val="20"/>
                <w:szCs w:val="20"/>
              </w:rPr>
            </w:pPr>
          </w:p>
        </w:tc>
        <w:tc>
          <w:tcPr>
            <w:tcW w:w="808" w:type="dxa"/>
            <w:tcBorders>
              <w:top w:val="nil"/>
              <w:left w:val="nil"/>
              <w:bottom w:val="nil"/>
              <w:right w:val="nil"/>
            </w:tcBorders>
            <w:shd w:val="clear" w:color="auto" w:fill="auto"/>
            <w:vAlign w:val="center"/>
          </w:tcPr>
          <w:p w:rsidR="0059739F" w:rsidRPr="00082F7B" w:rsidRDefault="0059739F" w:rsidP="0059739F">
            <w:pPr>
              <w:jc w:val="center"/>
              <w:rPr>
                <w:b/>
                <w:bCs/>
                <w:sz w:val="20"/>
                <w:szCs w:val="20"/>
              </w:rPr>
            </w:pPr>
          </w:p>
        </w:tc>
        <w:tc>
          <w:tcPr>
            <w:tcW w:w="1515"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c>
          <w:tcPr>
            <w:tcW w:w="540"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c>
          <w:tcPr>
            <w:tcW w:w="540"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c>
          <w:tcPr>
            <w:tcW w:w="720"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c>
          <w:tcPr>
            <w:tcW w:w="1260"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c>
          <w:tcPr>
            <w:tcW w:w="1260" w:type="dxa"/>
            <w:tcBorders>
              <w:top w:val="nil"/>
              <w:left w:val="nil"/>
              <w:bottom w:val="nil"/>
              <w:right w:val="nil"/>
            </w:tcBorders>
            <w:shd w:val="clear" w:color="auto" w:fill="auto"/>
            <w:vAlign w:val="bottom"/>
          </w:tcPr>
          <w:p w:rsidR="0059739F" w:rsidRPr="00082F7B" w:rsidRDefault="0059739F" w:rsidP="0059739F">
            <w:pPr>
              <w:jc w:val="center"/>
              <w:rPr>
                <w:b/>
                <w:bCs/>
                <w:sz w:val="20"/>
                <w:szCs w:val="20"/>
              </w:rPr>
            </w:pPr>
          </w:p>
        </w:tc>
      </w:tr>
      <w:tr w:rsidR="0059739F" w:rsidRPr="00082F7B" w:rsidTr="0059739F">
        <w:trPr>
          <w:trHeight w:val="375"/>
        </w:trPr>
        <w:tc>
          <w:tcPr>
            <w:tcW w:w="4320" w:type="dxa"/>
            <w:tcBorders>
              <w:top w:val="nil"/>
              <w:left w:val="nil"/>
              <w:bottom w:val="nil"/>
              <w:right w:val="nil"/>
            </w:tcBorders>
            <w:shd w:val="clear" w:color="auto" w:fill="auto"/>
            <w:vAlign w:val="bottom"/>
          </w:tcPr>
          <w:p w:rsidR="0059739F" w:rsidRPr="00082F7B" w:rsidRDefault="0059739F" w:rsidP="0059739F">
            <w:pPr>
              <w:rPr>
                <w:sz w:val="20"/>
                <w:szCs w:val="20"/>
              </w:rPr>
            </w:pPr>
          </w:p>
        </w:tc>
        <w:tc>
          <w:tcPr>
            <w:tcW w:w="808" w:type="dxa"/>
            <w:tcBorders>
              <w:top w:val="nil"/>
              <w:left w:val="nil"/>
              <w:bottom w:val="nil"/>
              <w:right w:val="nil"/>
            </w:tcBorders>
            <w:shd w:val="clear" w:color="auto" w:fill="auto"/>
            <w:vAlign w:val="bottom"/>
          </w:tcPr>
          <w:p w:rsidR="0059739F" w:rsidRPr="00082F7B" w:rsidRDefault="0059739F" w:rsidP="0059739F">
            <w:pPr>
              <w:rPr>
                <w:sz w:val="20"/>
                <w:szCs w:val="20"/>
              </w:rPr>
            </w:pPr>
          </w:p>
        </w:tc>
        <w:tc>
          <w:tcPr>
            <w:tcW w:w="1515" w:type="dxa"/>
            <w:tcBorders>
              <w:top w:val="nil"/>
              <w:left w:val="nil"/>
              <w:bottom w:val="nil"/>
              <w:right w:val="nil"/>
            </w:tcBorders>
            <w:shd w:val="clear" w:color="auto" w:fill="auto"/>
            <w:vAlign w:val="bottom"/>
          </w:tcPr>
          <w:p w:rsidR="0059739F" w:rsidRPr="00082F7B" w:rsidRDefault="0059739F" w:rsidP="0059739F">
            <w:pPr>
              <w:jc w:val="center"/>
              <w:rPr>
                <w:sz w:val="20"/>
                <w:szCs w:val="20"/>
              </w:rPr>
            </w:pPr>
          </w:p>
        </w:tc>
        <w:tc>
          <w:tcPr>
            <w:tcW w:w="540" w:type="dxa"/>
            <w:tcBorders>
              <w:top w:val="nil"/>
              <w:left w:val="nil"/>
              <w:bottom w:val="nil"/>
              <w:right w:val="nil"/>
            </w:tcBorders>
            <w:shd w:val="clear" w:color="auto" w:fill="auto"/>
            <w:vAlign w:val="bottom"/>
          </w:tcPr>
          <w:p w:rsidR="0059739F" w:rsidRPr="00082F7B" w:rsidRDefault="0059739F" w:rsidP="0059739F">
            <w:pPr>
              <w:jc w:val="center"/>
              <w:rPr>
                <w:sz w:val="20"/>
                <w:szCs w:val="20"/>
              </w:rPr>
            </w:pPr>
          </w:p>
        </w:tc>
        <w:tc>
          <w:tcPr>
            <w:tcW w:w="540" w:type="dxa"/>
            <w:tcBorders>
              <w:top w:val="nil"/>
              <w:left w:val="nil"/>
              <w:bottom w:val="nil"/>
              <w:right w:val="nil"/>
            </w:tcBorders>
            <w:shd w:val="clear" w:color="auto" w:fill="auto"/>
            <w:vAlign w:val="bottom"/>
          </w:tcPr>
          <w:p w:rsidR="0059739F" w:rsidRPr="00082F7B" w:rsidRDefault="0059739F" w:rsidP="0059739F">
            <w:pPr>
              <w:jc w:val="center"/>
              <w:rPr>
                <w:sz w:val="20"/>
                <w:szCs w:val="20"/>
              </w:rPr>
            </w:pPr>
          </w:p>
        </w:tc>
        <w:tc>
          <w:tcPr>
            <w:tcW w:w="720" w:type="dxa"/>
            <w:tcBorders>
              <w:top w:val="nil"/>
              <w:left w:val="nil"/>
              <w:bottom w:val="nil"/>
              <w:right w:val="nil"/>
            </w:tcBorders>
            <w:shd w:val="clear" w:color="auto" w:fill="auto"/>
            <w:vAlign w:val="bottom"/>
          </w:tcPr>
          <w:p w:rsidR="0059739F" w:rsidRPr="00082F7B" w:rsidRDefault="0059739F" w:rsidP="0059739F">
            <w:pPr>
              <w:jc w:val="center"/>
              <w:rPr>
                <w:sz w:val="20"/>
                <w:szCs w:val="20"/>
              </w:rPr>
            </w:pPr>
          </w:p>
        </w:tc>
        <w:tc>
          <w:tcPr>
            <w:tcW w:w="2520" w:type="dxa"/>
            <w:gridSpan w:val="2"/>
            <w:tcBorders>
              <w:top w:val="nil"/>
              <w:left w:val="nil"/>
              <w:bottom w:val="nil"/>
              <w:right w:val="nil"/>
            </w:tcBorders>
            <w:shd w:val="clear" w:color="auto" w:fill="auto"/>
            <w:vAlign w:val="bottom"/>
          </w:tcPr>
          <w:p w:rsidR="0059739F" w:rsidRPr="00082F7B" w:rsidRDefault="0059739F" w:rsidP="0059739F">
            <w:pPr>
              <w:jc w:val="center"/>
              <w:rPr>
                <w:sz w:val="20"/>
                <w:szCs w:val="20"/>
              </w:rPr>
            </w:pPr>
            <w:r w:rsidRPr="00082F7B">
              <w:rPr>
                <w:sz w:val="20"/>
                <w:szCs w:val="20"/>
              </w:rPr>
              <w:t>(тыс.рублей)</w:t>
            </w:r>
          </w:p>
        </w:tc>
      </w:tr>
      <w:tr w:rsidR="0059739F" w:rsidRPr="00082F7B" w:rsidTr="0059739F">
        <w:trPr>
          <w:trHeight w:val="825"/>
        </w:trPr>
        <w:tc>
          <w:tcPr>
            <w:tcW w:w="4320" w:type="dxa"/>
            <w:tcBorders>
              <w:top w:val="single" w:sz="4" w:space="0" w:color="auto"/>
              <w:left w:val="single" w:sz="4" w:space="0" w:color="auto"/>
              <w:bottom w:val="single" w:sz="4" w:space="0" w:color="auto"/>
              <w:right w:val="nil"/>
            </w:tcBorders>
            <w:shd w:val="clear" w:color="auto" w:fill="auto"/>
            <w:vAlign w:val="center"/>
          </w:tcPr>
          <w:p w:rsidR="0059739F" w:rsidRPr="00082F7B" w:rsidRDefault="0059739F" w:rsidP="0059739F">
            <w:pPr>
              <w:jc w:val="center"/>
              <w:rPr>
                <w:b/>
                <w:bCs/>
                <w:sz w:val="20"/>
                <w:szCs w:val="20"/>
              </w:rPr>
            </w:pPr>
            <w:r w:rsidRPr="00082F7B">
              <w:rPr>
                <w:b/>
                <w:bCs/>
                <w:sz w:val="20"/>
                <w:szCs w:val="20"/>
              </w:rPr>
              <w:t>Наименование</w:t>
            </w:r>
          </w:p>
        </w:tc>
        <w:tc>
          <w:tcPr>
            <w:tcW w:w="808" w:type="dxa"/>
            <w:tcBorders>
              <w:top w:val="single" w:sz="4" w:space="0" w:color="auto"/>
              <w:left w:val="single" w:sz="4" w:space="0" w:color="auto"/>
              <w:bottom w:val="single" w:sz="4" w:space="0" w:color="auto"/>
              <w:right w:val="nil"/>
            </w:tcBorders>
            <w:shd w:val="clear" w:color="auto" w:fill="auto"/>
            <w:vAlign w:val="center"/>
          </w:tcPr>
          <w:p w:rsidR="0059739F" w:rsidRPr="00082F7B" w:rsidRDefault="0059739F" w:rsidP="0059739F">
            <w:pPr>
              <w:jc w:val="center"/>
              <w:rPr>
                <w:b/>
                <w:bCs/>
                <w:sz w:val="20"/>
                <w:szCs w:val="20"/>
              </w:rPr>
            </w:pPr>
            <w:r w:rsidRPr="00082F7B">
              <w:rPr>
                <w:b/>
                <w:bCs/>
                <w:sz w:val="20"/>
                <w:szCs w:val="20"/>
              </w:rPr>
              <w:t>ГРБС</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9739F" w:rsidRPr="00082F7B" w:rsidRDefault="0059739F" w:rsidP="0059739F">
            <w:pPr>
              <w:jc w:val="center"/>
              <w:rPr>
                <w:b/>
                <w:bCs/>
                <w:sz w:val="20"/>
                <w:szCs w:val="20"/>
              </w:rPr>
            </w:pPr>
            <w:r w:rsidRPr="00082F7B">
              <w:rPr>
                <w:b/>
                <w:bCs/>
                <w:sz w:val="20"/>
                <w:szCs w:val="20"/>
              </w:rPr>
              <w:t>КЦСР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59739F" w:rsidRPr="00082F7B" w:rsidRDefault="0059739F" w:rsidP="0059739F">
            <w:pPr>
              <w:jc w:val="center"/>
              <w:rPr>
                <w:b/>
                <w:bCs/>
                <w:sz w:val="20"/>
                <w:szCs w:val="20"/>
              </w:rPr>
            </w:pPr>
            <w:r w:rsidRPr="00082F7B">
              <w:rPr>
                <w:b/>
                <w:bCs/>
                <w:sz w:val="20"/>
                <w:szCs w:val="20"/>
              </w:rPr>
              <w:t>РЗ</w:t>
            </w:r>
          </w:p>
        </w:tc>
        <w:tc>
          <w:tcPr>
            <w:tcW w:w="540" w:type="dxa"/>
            <w:tcBorders>
              <w:top w:val="single" w:sz="4" w:space="0" w:color="auto"/>
              <w:left w:val="nil"/>
              <w:bottom w:val="single" w:sz="4" w:space="0" w:color="auto"/>
              <w:right w:val="single" w:sz="4" w:space="0" w:color="auto"/>
            </w:tcBorders>
            <w:shd w:val="clear" w:color="auto" w:fill="auto"/>
            <w:vAlign w:val="center"/>
          </w:tcPr>
          <w:p w:rsidR="0059739F" w:rsidRPr="00082F7B" w:rsidRDefault="0059739F" w:rsidP="0059739F">
            <w:pPr>
              <w:jc w:val="center"/>
              <w:rPr>
                <w:b/>
                <w:bCs/>
                <w:sz w:val="20"/>
                <w:szCs w:val="20"/>
              </w:rPr>
            </w:pPr>
            <w:r w:rsidRPr="00082F7B">
              <w:rPr>
                <w:b/>
                <w:bCs/>
                <w:sz w:val="20"/>
                <w:szCs w:val="20"/>
              </w:rPr>
              <w:t>ПР</w:t>
            </w:r>
          </w:p>
        </w:tc>
        <w:tc>
          <w:tcPr>
            <w:tcW w:w="720" w:type="dxa"/>
            <w:tcBorders>
              <w:top w:val="single" w:sz="4" w:space="0" w:color="auto"/>
              <w:left w:val="nil"/>
              <w:bottom w:val="single" w:sz="4" w:space="0" w:color="auto"/>
              <w:right w:val="single" w:sz="4" w:space="0" w:color="auto"/>
            </w:tcBorders>
            <w:shd w:val="clear" w:color="auto" w:fill="auto"/>
            <w:vAlign w:val="center"/>
          </w:tcPr>
          <w:p w:rsidR="0059739F" w:rsidRPr="00082F7B" w:rsidRDefault="0059739F" w:rsidP="0059739F">
            <w:pPr>
              <w:jc w:val="center"/>
              <w:rPr>
                <w:b/>
                <w:bCs/>
                <w:sz w:val="20"/>
                <w:szCs w:val="20"/>
              </w:rPr>
            </w:pPr>
            <w:r w:rsidRPr="00082F7B">
              <w:rPr>
                <w:b/>
                <w:bCs/>
                <w:sz w:val="20"/>
                <w:szCs w:val="20"/>
              </w:rPr>
              <w:t>КВР</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9739F" w:rsidRPr="00082F7B" w:rsidRDefault="0059739F" w:rsidP="0059739F">
            <w:pPr>
              <w:jc w:val="center"/>
              <w:rPr>
                <w:b/>
                <w:bCs/>
                <w:sz w:val="20"/>
                <w:szCs w:val="20"/>
              </w:rPr>
            </w:pPr>
            <w:r w:rsidRPr="00082F7B">
              <w:rPr>
                <w:b/>
                <w:bCs/>
                <w:sz w:val="20"/>
                <w:szCs w:val="20"/>
              </w:rPr>
              <w:t>2018 год</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9739F" w:rsidRPr="00082F7B" w:rsidRDefault="0059739F" w:rsidP="0059739F">
            <w:pPr>
              <w:jc w:val="center"/>
              <w:rPr>
                <w:b/>
                <w:bCs/>
                <w:sz w:val="20"/>
                <w:szCs w:val="20"/>
              </w:rPr>
            </w:pPr>
            <w:r w:rsidRPr="00082F7B">
              <w:rPr>
                <w:b/>
                <w:bCs/>
                <w:sz w:val="20"/>
                <w:szCs w:val="20"/>
              </w:rPr>
              <w:t>2019 год</w:t>
            </w:r>
          </w:p>
        </w:tc>
      </w:tr>
      <w:tr w:rsidR="0059739F" w:rsidRPr="00896C17"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16"/>
                <w:szCs w:val="16"/>
              </w:rPr>
            </w:pPr>
            <w:r w:rsidRPr="00896C17">
              <w:rPr>
                <w:sz w:val="16"/>
                <w:szCs w:val="16"/>
              </w:rPr>
              <w:t>1</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16"/>
                <w:szCs w:val="16"/>
              </w:rPr>
            </w:pPr>
            <w:r w:rsidRPr="00896C17">
              <w:rPr>
                <w:sz w:val="16"/>
                <w:szCs w:val="16"/>
              </w:rPr>
              <w:t>2</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5</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16"/>
                <w:szCs w:val="16"/>
              </w:rPr>
            </w:pPr>
            <w:r w:rsidRPr="00896C17">
              <w:rPr>
                <w:sz w:val="16"/>
                <w:szCs w:val="16"/>
              </w:rPr>
              <w:t>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rPr>
                <w:sz w:val="20"/>
                <w:szCs w:val="20"/>
              </w:rPr>
            </w:pPr>
            <w:r w:rsidRPr="007269F8">
              <w:rPr>
                <w:sz w:val="20"/>
                <w:szCs w:val="20"/>
              </w:rPr>
              <w:t>Муниципальное Собрание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jc w:val="center"/>
              <w:rPr>
                <w:sz w:val="20"/>
                <w:szCs w:val="20"/>
              </w:rPr>
            </w:pPr>
            <w:r w:rsidRPr="007269F8">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224"/>
              <w:jc w:val="right"/>
              <w:rPr>
                <w:sz w:val="20"/>
                <w:szCs w:val="20"/>
              </w:rPr>
            </w:pPr>
            <w:r w:rsidRPr="007269F8">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97"/>
              <w:jc w:val="right"/>
              <w:rPr>
                <w:sz w:val="20"/>
                <w:szCs w:val="20"/>
              </w:rPr>
            </w:pPr>
            <w:r w:rsidRPr="007269F8">
              <w:rPr>
                <w:sz w:val="20"/>
                <w:szCs w:val="20"/>
              </w:rPr>
              <w:t>2 458,9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2 458,9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2 458,9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2 458,9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2 458,9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2 458,9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высшего должностного лица субъекта Российской Федерации и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1 045,0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1 045,0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1 045,0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1 045,0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1 413,9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1 413,9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813,9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813,9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599,0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599,0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225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rPr>
                <w:sz w:val="20"/>
                <w:szCs w:val="20"/>
              </w:rPr>
            </w:pPr>
            <w:r w:rsidRPr="007269F8">
              <w:rPr>
                <w:sz w:val="20"/>
                <w:szCs w:val="20"/>
              </w:rPr>
              <w:t xml:space="preserve">Администрация Кичменгско-Городецкого муниципального района </w:t>
            </w:r>
          </w:p>
        </w:tc>
        <w:tc>
          <w:tcPr>
            <w:tcW w:w="808"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jc w:val="center"/>
              <w:rPr>
                <w:sz w:val="20"/>
                <w:szCs w:val="20"/>
              </w:rPr>
            </w:pPr>
            <w:r w:rsidRPr="007269F8">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224"/>
              <w:jc w:val="right"/>
              <w:rPr>
                <w:sz w:val="20"/>
                <w:szCs w:val="20"/>
              </w:rPr>
            </w:pPr>
            <w:r w:rsidRPr="007269F8">
              <w:rPr>
                <w:sz w:val="20"/>
                <w:szCs w:val="20"/>
              </w:rPr>
              <w:t>67 193,0</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97"/>
              <w:jc w:val="right"/>
              <w:rPr>
                <w:sz w:val="20"/>
                <w:szCs w:val="20"/>
              </w:rPr>
            </w:pPr>
            <w:r w:rsidRPr="007269F8">
              <w:rPr>
                <w:sz w:val="20"/>
                <w:szCs w:val="20"/>
              </w:rPr>
              <w:t>67 284,4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"Поддержка субъектов малого и среднего предпринимательства в Кичм</w:t>
            </w:r>
            <w:r w:rsidR="00571A9E">
              <w:rPr>
                <w:sz w:val="20"/>
                <w:szCs w:val="20"/>
              </w:rPr>
              <w:t>енгско</w:t>
            </w:r>
            <w:r w:rsidRPr="00896C17">
              <w:rPr>
                <w:sz w:val="20"/>
                <w:szCs w:val="20"/>
              </w:rPr>
              <w:t>-Городецком районе» на 2015-2020гг.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по поддержке предпринимательства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Муниципальная программа "Безбарьерная </w:t>
            </w:r>
            <w:r w:rsidRPr="00896C17">
              <w:rPr>
                <w:sz w:val="20"/>
                <w:szCs w:val="20"/>
              </w:rPr>
              <w:lastRenderedPageBreak/>
              <w:t>среда на 2016-2018гг."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224"/>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05 0 03 00000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05 0 04 00000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 </w:t>
            </w:r>
            <w:r>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Мероприятия по устойчивому развитию сельских территорий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06 0 01 20020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"Развитие сети автомобильных дорог общего пользования местного значения на период 2017-2019гг."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22 500,0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23 000,0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«Содержание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Содержание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«Ремонт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Ремонт муниципальных дорог, мостов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Pr>
                <w:sz w:val="20"/>
                <w:szCs w:val="20"/>
              </w:rPr>
              <w:t>5 015,1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Pr>
                <w:sz w:val="20"/>
                <w:szCs w:val="20"/>
              </w:rPr>
              <w:t>5 015,1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Pr>
                <w:sz w:val="20"/>
                <w:szCs w:val="20"/>
              </w:rPr>
              <w:t>5 015,1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Pr>
                <w:sz w:val="20"/>
                <w:szCs w:val="20"/>
              </w:rPr>
              <w:t>3 370,8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Pr>
                <w:sz w:val="20"/>
                <w:szCs w:val="20"/>
              </w:rPr>
              <w:t>5 015,1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rPr>
                <w:sz w:val="20"/>
                <w:szCs w:val="20"/>
              </w:rPr>
            </w:pPr>
            <w:r w:rsidRPr="00E27AA9">
              <w:rPr>
                <w:sz w:val="20"/>
                <w:szCs w:val="20"/>
              </w:rPr>
              <w:t>Ремонт муниципальных дорог, мостов (софинансирование субсидии)</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70,6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54,3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rPr>
                <w:sz w:val="20"/>
                <w:szCs w:val="20"/>
              </w:rPr>
            </w:pPr>
            <w:r w:rsidRPr="00E27AA9">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70,6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54,3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rPr>
                <w:sz w:val="20"/>
                <w:szCs w:val="20"/>
              </w:rPr>
            </w:pPr>
            <w:r w:rsidRPr="00E27AA9">
              <w:rPr>
                <w:sz w:val="20"/>
                <w:szCs w:val="20"/>
              </w:rPr>
              <w:lastRenderedPageBreak/>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70,6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54,3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center"/>
          </w:tcPr>
          <w:p w:rsidR="0059739F" w:rsidRPr="00E27AA9" w:rsidRDefault="0059739F" w:rsidP="0059739F">
            <w:pPr>
              <w:rPr>
                <w:sz w:val="20"/>
                <w:szCs w:val="20"/>
              </w:rPr>
            </w:pPr>
            <w:r w:rsidRPr="00E27AA9">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70,6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54,3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center"/>
          </w:tcPr>
          <w:p w:rsidR="0059739F" w:rsidRPr="00E27AA9" w:rsidRDefault="0059739F" w:rsidP="0059739F">
            <w:pPr>
              <w:rPr>
                <w:sz w:val="20"/>
                <w:szCs w:val="20"/>
              </w:rPr>
            </w:pPr>
            <w:r w:rsidRPr="00E27AA9">
              <w:rPr>
                <w:sz w:val="20"/>
                <w:szCs w:val="20"/>
              </w:rPr>
              <w:t>Осуществление дорожной деятельности в отношении автомобильных дорог общего пользования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7 058,6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5 430,6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rPr>
                <w:sz w:val="20"/>
                <w:szCs w:val="20"/>
              </w:rPr>
            </w:pPr>
            <w:r w:rsidRPr="00E27AA9">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7 058,6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5 430,6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rPr>
                <w:sz w:val="20"/>
                <w:szCs w:val="20"/>
              </w:rPr>
            </w:pPr>
            <w:r w:rsidRPr="00E27AA9">
              <w:rPr>
                <w:sz w:val="20"/>
                <w:szCs w:val="20"/>
              </w:rPr>
              <w:t>Дорожное хозяйство (дорожные фонды)</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7 058,6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5 430,6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center"/>
          </w:tcPr>
          <w:p w:rsidR="0059739F" w:rsidRPr="00E27AA9" w:rsidRDefault="0059739F" w:rsidP="0059739F">
            <w:pPr>
              <w:rPr>
                <w:sz w:val="20"/>
                <w:szCs w:val="20"/>
              </w:rPr>
            </w:pPr>
            <w:r w:rsidRPr="00E27AA9">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E27AA9" w:rsidRDefault="0059739F" w:rsidP="0059739F">
            <w:pPr>
              <w:jc w:val="center"/>
              <w:rPr>
                <w:sz w:val="20"/>
                <w:szCs w:val="20"/>
              </w:rPr>
            </w:pPr>
            <w:r w:rsidRPr="00E27AA9">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jc w:val="center"/>
              <w:rPr>
                <w:sz w:val="20"/>
                <w:szCs w:val="20"/>
              </w:rPr>
            </w:pPr>
            <w:r w:rsidRPr="00E27AA9">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113"/>
              <w:jc w:val="right"/>
              <w:rPr>
                <w:sz w:val="20"/>
                <w:szCs w:val="20"/>
              </w:rPr>
            </w:pPr>
            <w:r w:rsidRPr="00E27AA9">
              <w:rPr>
                <w:sz w:val="20"/>
                <w:szCs w:val="20"/>
              </w:rPr>
              <w:t>7 058,6</w:t>
            </w:r>
          </w:p>
        </w:tc>
        <w:tc>
          <w:tcPr>
            <w:tcW w:w="1260" w:type="dxa"/>
            <w:tcBorders>
              <w:top w:val="nil"/>
              <w:left w:val="nil"/>
              <w:bottom w:val="single" w:sz="4" w:space="0" w:color="auto"/>
              <w:right w:val="single" w:sz="4" w:space="0" w:color="auto"/>
            </w:tcBorders>
            <w:shd w:val="clear" w:color="auto" w:fill="auto"/>
            <w:vAlign w:val="bottom"/>
          </w:tcPr>
          <w:p w:rsidR="0059739F" w:rsidRPr="00E27AA9" w:rsidRDefault="0059739F" w:rsidP="0059739F">
            <w:pPr>
              <w:ind w:right="97"/>
              <w:jc w:val="right"/>
              <w:rPr>
                <w:sz w:val="20"/>
                <w:szCs w:val="20"/>
              </w:rPr>
            </w:pPr>
            <w:r w:rsidRPr="00E27AA9">
              <w:rPr>
                <w:sz w:val="20"/>
                <w:szCs w:val="20"/>
              </w:rPr>
              <w:t>5 430,6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539,5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539,5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«Обеспечение экологической безопасности граждан и сохранение природных систем»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539,5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539,5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Природоохранные мероприятия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235,0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Охрана окружающей среды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235,0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Охрана объектов растительного и животного мира и среды их обитания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235,0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235,0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235,0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213,6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213,6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213,6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213,6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213,6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90,9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Здравоохранение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90,9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Санитарно-эпидемиологическое благополучие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90,9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90,9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90,9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"Кадровое обеспечение Кич-Городецкого муниципального района на 2015-2020гг."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262,0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Повышение профессионального мастерства работников АПК</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Сельское хозяйство и рыболовство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Основное мероприятие «Выплата стипендии студенту ГБОУ ВПО «Северный </w:t>
            </w:r>
            <w:r w:rsidRPr="00896C17">
              <w:rPr>
                <w:sz w:val="20"/>
                <w:szCs w:val="20"/>
              </w:rPr>
              <w:lastRenderedPageBreak/>
              <w:t>государственный медицинский университет»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09 0 05 00000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 xml:space="preserve">Выплата стипендии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Здравоохранение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здравоохранения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Стипендии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"Энергосбережение на территории Кич-Городецкого муниципального района на 2015-2020 год"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«Энергосбережение и повышение энергетической эффективности в бюджетной сфере»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Мероприятия по энергосбережению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"Развитие архивного дела в Кичменгско-Городецком муниципальном районе на 2015-2020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178,3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178,3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178,3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178,3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174,9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178,3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119,9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1720D2">
              <w:rPr>
                <w:sz w:val="20"/>
                <w:szCs w:val="20"/>
              </w:rPr>
              <w:t>Основное мероприятие «Приведение систем коммунальной инфраструктуры в соответствии со стандартами качества»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15 0 01 00000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Водоснабжение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юридическим лицам (кроме коммерческих организа</w:t>
            </w:r>
            <w:r>
              <w:rPr>
                <w:sz w:val="20"/>
                <w:szCs w:val="20"/>
              </w:rPr>
              <w:t>ц</w:t>
            </w:r>
            <w:r w:rsidRPr="00896C17">
              <w:rPr>
                <w:sz w:val="20"/>
                <w:szCs w:val="20"/>
              </w:rPr>
              <w:t>ий, индивидуальным предпринимателям, физическим лицам - производителям товаров, работ, услуг)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«Профилактика преступлений и иных правонарушений»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16 1 01 00000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 xml:space="preserve">Мероприятия по профилактике правонарушений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16 1 02 00000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по профилактике правонарушений и безопасности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Подпрограмма «Безопасность дорожного движения»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16 2 02 00000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по профилактике правонарушений и безопасности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"Управление и распоряжение муниципальным имуществом и земельными участками на 2014-2016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17 0 04 00000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национальной экономики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17 0 05 00000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Мероприятия по проведению работ по формированию и постановке на кадастровый учет объектов недвижимого имущества и независимой оценке муниципального </w:t>
            </w:r>
            <w:r w:rsidRPr="00896C17">
              <w:rPr>
                <w:sz w:val="20"/>
                <w:szCs w:val="20"/>
              </w:rPr>
              <w:lastRenderedPageBreak/>
              <w:t>имущества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национальной экономики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F05EF1">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Pr>
                <w:sz w:val="20"/>
                <w:szCs w:val="20"/>
              </w:rPr>
              <w:t>81</w:t>
            </w:r>
            <w:r w:rsidRPr="00896C17">
              <w:rPr>
                <w:sz w:val="20"/>
                <w:szCs w:val="20"/>
              </w:rPr>
              <w:t>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«Проведение работ по капитальному ремонту и реконструкции жилых домов»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18 0 01 00000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Капитальный и текущий ремонт муниципального жилищного фонда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Жилищно-коммунальное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Жилищное хозяйство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юридическим лицам (кроме коммерческих организауий, индивидуальным предпринимателям, физическим лицам - производителям товаров, работ, услуг)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1 218,0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1 218,0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обеспечение деятельности (оказание услуг)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15 405,9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15 405,9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Реализация мероприятий по предупреждению и ликвидации последствий чрезвычайных ситуаций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безопасность и правоохранительная деятельность</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Организация деятельности многофункционального центра предоставления государственных и муниципальных услуг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12 300,0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12 300,0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1 909,1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1 909,1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1 909,1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1 909,1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1 909,1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636,8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636,8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636,8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74 0 00 51340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636,8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636,8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20 822,7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20 822,7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20 822,7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20 822,7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19 514,5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19 514,5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19 514,5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19 514,5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13 754,5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13 754,5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5 700,0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5 700,0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межбюджетные трансферты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540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 </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724,8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724,8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724,8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724,8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556,0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556,0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168,8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168,8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518,4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518,4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518,4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518,4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30,6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30,6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17,0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17,0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обеспечения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13,6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13,6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Реализация иных муниципальных функций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3 360,0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3 360,0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общественным организациям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154,0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154,0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630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154,0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154,0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206,0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социальной политики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206,0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630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206,0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206,0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Предоставление мер социальной поддержки отдельным категориям граждан (ЕДК)</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некоммерческим организациям (за исключением государственных (муниципальных) учреждений)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239</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3 000,0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3 000,0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rPr>
                <w:sz w:val="20"/>
                <w:szCs w:val="20"/>
              </w:rPr>
            </w:pPr>
            <w:r w:rsidRPr="007269F8">
              <w:rPr>
                <w:sz w:val="20"/>
                <w:szCs w:val="20"/>
              </w:rPr>
              <w:t>Управление финансов администрации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jc w:val="center"/>
              <w:rPr>
                <w:sz w:val="20"/>
                <w:szCs w:val="20"/>
              </w:rPr>
            </w:pPr>
            <w:r w:rsidRPr="007269F8">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113"/>
              <w:jc w:val="right"/>
              <w:rPr>
                <w:sz w:val="20"/>
                <w:szCs w:val="20"/>
              </w:rPr>
            </w:pPr>
            <w:r w:rsidRPr="007269F8">
              <w:rPr>
                <w:sz w:val="20"/>
                <w:szCs w:val="20"/>
              </w:rPr>
              <w:t>29 074,4</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97"/>
              <w:jc w:val="right"/>
              <w:rPr>
                <w:sz w:val="20"/>
                <w:szCs w:val="20"/>
              </w:rPr>
            </w:pPr>
            <w:r w:rsidRPr="007269F8">
              <w:rPr>
                <w:sz w:val="20"/>
                <w:szCs w:val="20"/>
              </w:rPr>
              <w:t>27 523,5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Выравнивание бюджетной обеспеченности муниципальных образований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7 735,3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7 719,4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1 389,6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1 389,6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1 389,6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1 415,9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1 389,6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6 329,8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6 329,8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6 329,8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6 319,4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6 329,8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Поддержка мер по обеспечению сбалансированности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Поддержка мер по обеспечению сбалансированности бюджетов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72 2 00 00000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 на поддержку мер по обеспечению сбалансированности бюджетов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дотации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Дотации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510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16 497,3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14 962,3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4 841,8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4 841,8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4 841,8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Общегосударственные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4 841,8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4 841,8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4 841,8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4 161,8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4 161,8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679,0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679,0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245</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06</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rPr>
                <w:sz w:val="20"/>
                <w:szCs w:val="20"/>
              </w:rPr>
            </w:pPr>
            <w:r w:rsidRPr="007269F8">
              <w:rPr>
                <w:sz w:val="20"/>
                <w:szCs w:val="20"/>
              </w:rPr>
              <w:t xml:space="preserve">Управление образования администрации Кичменгско-Городецкого муниципального района </w:t>
            </w:r>
          </w:p>
        </w:tc>
        <w:tc>
          <w:tcPr>
            <w:tcW w:w="808"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jc w:val="center"/>
              <w:rPr>
                <w:sz w:val="20"/>
                <w:szCs w:val="20"/>
              </w:rPr>
            </w:pPr>
            <w:r w:rsidRPr="007269F8">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113"/>
              <w:jc w:val="right"/>
              <w:rPr>
                <w:sz w:val="20"/>
                <w:szCs w:val="20"/>
              </w:rPr>
            </w:pPr>
            <w:r w:rsidRPr="007269F8">
              <w:rPr>
                <w:sz w:val="20"/>
                <w:szCs w:val="20"/>
              </w:rPr>
              <w:t>254 489,0</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97"/>
              <w:jc w:val="right"/>
              <w:rPr>
                <w:sz w:val="20"/>
                <w:szCs w:val="20"/>
              </w:rPr>
            </w:pPr>
            <w:r w:rsidRPr="007269F8">
              <w:rPr>
                <w:sz w:val="20"/>
                <w:szCs w:val="20"/>
              </w:rPr>
              <w:t>254 489,0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"Развитие образования Кичменгско-Городецкого муниципального района Вологодской области"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203 635,2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203 635,2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68 927,8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68 927,8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«Обеспечение доступности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01 1 01 00000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65 028,2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65 028,2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Детские дошкольные учреждения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7 813,8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7 813,8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Дошкольное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7 813,8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7 813,8</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7 813,8</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57 214,4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57 214,4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Дошкольное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57 214,4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57 214,4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57 214,4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w:t>
            </w:r>
            <w:r w:rsidRPr="00896C17">
              <w:rPr>
                <w:sz w:val="20"/>
                <w:szCs w:val="20"/>
              </w:rPr>
              <w:lastRenderedPageBreak/>
              <w:t>реализующие основную общеобразовательную программу дошкольного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3 899,6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3 899,6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3 899,6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606FBC" w:rsidRDefault="0059739F" w:rsidP="0059739F">
            <w:pPr>
              <w:rPr>
                <w:sz w:val="20"/>
                <w:szCs w:val="20"/>
              </w:rPr>
            </w:pPr>
            <w:r w:rsidRPr="00606FBC">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3 899,6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Социальные выплаты гражданам, кроме публичных нормативных социальных выплат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3 899,6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3 899,6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"Развитие общего и дополнительного образования детей"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131 405,4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131 405,4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117 510,7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117 510,7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Школы - детские сады, школы начальные, неполные средние и средние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16 200,0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16 200,0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16 200,0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16 200,0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16 200,0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101 310,7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 </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101 310,7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101 310,7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101 310,7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01 2 04 00000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Учреждения по внешкольной работе с детьми (Дом детского творчества)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Дополнительное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4 500,0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4 500,0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01 2 05 00000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Специальные (коррекционные) учреждения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1 400,0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1 400,0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7 994,7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7 994,7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7 994,7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7 994,7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938,4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938,4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938,4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938,4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7 056,3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7 056,3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Социальные выплаты гражданам, кроме публичных нормативных социальных выплат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1 273,4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1 273,4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02</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5 782,9</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5 782,9</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3 302,0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3 302,0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«Обеспечение безопасности образовательного процесса»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01 5 03 00000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3 242,0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Укрепление материально-технических условий и обеспечение комплексной безопасности образовательных организаций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3 242,0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3 242,0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3 242,0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3 242,0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3 242,0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"Содействие занятости населения на 2015-2020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Организация временного трудоустройства несовершеннолетних граждан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Общеэкономические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80,0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80,0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"Кадровое обеспечение Кич-Городецкого муниципального района на 2015-2020гг."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09 0 06 00000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Выплата стипендии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Стипендии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обеспечение деятельности (оказание услуг) муниципального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48 099,2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48 099,2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подвоза обучающихся образовательных организаций и обратно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7 820,0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7 820,0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40 279,2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40 279,2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40 279,2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40 279,2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Фонд оплаты труда казенных учреждений и </w:t>
            </w:r>
            <w:r w:rsidRPr="00896C17">
              <w:rPr>
                <w:sz w:val="20"/>
                <w:szCs w:val="20"/>
              </w:rPr>
              <w:lastRenderedPageBreak/>
              <w:t>взносы по обязательному социальному страхованию</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38 454,2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38 454,2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1 813,0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1 813,0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12,0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Функционирование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2 602,6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деятельности органов местного самоуправления по решению вопросов местного значения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2 602,6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2 602,6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2 602,6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образования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2 602,6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2 602,6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2 052,6</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2 052,6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525,0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525,0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247</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09</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rPr>
                <w:sz w:val="20"/>
                <w:szCs w:val="20"/>
              </w:rPr>
            </w:pPr>
            <w:r w:rsidRPr="007269F8">
              <w:rPr>
                <w:sz w:val="20"/>
                <w:szCs w:val="20"/>
              </w:rPr>
              <w:t>Управление культуры, молодежной политики, туризма и спорта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59739F" w:rsidRPr="007269F8" w:rsidRDefault="0059739F" w:rsidP="0059739F">
            <w:pPr>
              <w:jc w:val="center"/>
              <w:rPr>
                <w:sz w:val="20"/>
                <w:szCs w:val="20"/>
              </w:rPr>
            </w:pPr>
            <w:r w:rsidRPr="007269F8">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jc w:val="center"/>
              <w:rPr>
                <w:sz w:val="20"/>
                <w:szCs w:val="20"/>
              </w:rPr>
            </w:pPr>
            <w:r w:rsidRPr="007269F8">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113"/>
              <w:jc w:val="right"/>
              <w:rPr>
                <w:sz w:val="20"/>
                <w:szCs w:val="20"/>
              </w:rPr>
            </w:pPr>
            <w:r w:rsidRPr="007269F8">
              <w:rPr>
                <w:sz w:val="20"/>
                <w:szCs w:val="20"/>
              </w:rPr>
              <w:t>26 212,6</w:t>
            </w:r>
          </w:p>
        </w:tc>
        <w:tc>
          <w:tcPr>
            <w:tcW w:w="1260" w:type="dxa"/>
            <w:tcBorders>
              <w:top w:val="nil"/>
              <w:left w:val="nil"/>
              <w:bottom w:val="single" w:sz="4" w:space="0" w:color="auto"/>
              <w:right w:val="single" w:sz="4" w:space="0" w:color="auto"/>
            </w:tcBorders>
            <w:shd w:val="clear" w:color="auto" w:fill="auto"/>
            <w:vAlign w:val="bottom"/>
          </w:tcPr>
          <w:p w:rsidR="0059739F" w:rsidRPr="007269F8" w:rsidRDefault="0059739F" w:rsidP="0059739F">
            <w:pPr>
              <w:ind w:right="97"/>
              <w:jc w:val="right"/>
              <w:rPr>
                <w:sz w:val="20"/>
                <w:szCs w:val="20"/>
              </w:rPr>
            </w:pPr>
            <w:r w:rsidRPr="007269F8">
              <w:rPr>
                <w:sz w:val="20"/>
                <w:szCs w:val="20"/>
              </w:rPr>
              <w:t>26 212,6</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"Содействие занятости населения на 2015-2020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Организация временного трудоустройства несовершеннолетних граждан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Национальная экономика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Общеэкономические вопросы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"Развитие сферы "Культура" в Кичменгско-Городецком муниципальном районе на 2015-2020гг."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25 505,4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25 505,4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"Дополнительное образование, поддержка творческих инициатив, библиотечное обслуживание, музейное дело"</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18 429,0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18 429,0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«Реализация программ дополнительного образования детей в сфере культуры и искусства»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Детская школа искусств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Дополнительное 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4 165,0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4 165,0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«Библиотечное  информационно-справочное обслуживание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6 960,0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Библиотека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6 960,0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6 960,0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6 960,0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6 960,0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6 960,0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«Предоставление услуг населению в области культурно-досуговой деятельности»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03 1 03 00000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5 803,3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Дом культуры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5 803,3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5 803,3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5 803,3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5 803,3</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5 803,3</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«Осуществление музейной деятельности»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03 1 04 00000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1 500,7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 xml:space="preserve">Музеи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1 500,7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1 500,7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1 500,7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Субсидии бюджетным учреждениям</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610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1 500,7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1 500,7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«Обеспечение условий реализации муниципальной программы»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7 076,4</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7 076,4</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«Развитие системы управления в сфере культуры»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2 316,2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Выполнение функций органов местного самоуправления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2 316,2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2 316,2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культуры, кинематографии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2 316,2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2 316,2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Расходы на выплаты персоналу государственных (муниципальных) органов</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1 756,2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1 756,2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297,0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297,0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263,0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263,0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4 760,2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работы по организации и ведению бухгалтерского (бюджетного) учета и</w:t>
            </w:r>
            <w:r w:rsidRPr="00896C17">
              <w:rPr>
                <w:sz w:val="20"/>
                <w:szCs w:val="20"/>
              </w:rPr>
              <w:br/>
              <w:t>отчетности, обеспечение финансово-хозяйственной деятельности учреждений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4 760,2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Культура, кинематография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4 760,2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Другие вопросы в области культуры, кинематографии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4 760,2</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4 760,2</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Фонд оплаты труда казенных учреждений и взносы по обязательному социальному страхованию</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110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4 189,0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4 189,0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564,7</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564,7</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Уплата налогов, сборов и иных платежей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04</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850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6,5</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6,5</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«Организация и проведение спортивных мероприятий»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Организация, проведение мероприятий и содержание объектов спорта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Физическая культура и спорт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Массовый спорт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01</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344,1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344,1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11 0 00 00000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343,1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343,1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«Содействие патриотическому и духовно- нравственному воспитанию молодежи»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Мероприятия по патриотическому и духовно- </w:t>
            </w:r>
            <w:r w:rsidRPr="00896C17">
              <w:rPr>
                <w:sz w:val="20"/>
                <w:szCs w:val="20"/>
              </w:rPr>
              <w:lastRenderedPageBreak/>
              <w:t>нравственному воспитанию молодежи</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lastRenderedPageBreak/>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lastRenderedPageBreak/>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Молодежная политика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100,0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100,0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"Обеспечение жильем молодых семей на 2017-2020 годы"</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"Содействие улучшению жилищных условий молодых семей"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11 2 01 00000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Обеспечение жильем молодых семей</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Социальная политика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Социальное обеспечение населения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Социальные выплаты гражданам, кроме публичных нормативных социальных выплат</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03</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320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200,0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200,0</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Подпрограмма "Организация молодежного движения Кичменгско-Городецкого муниципального района"</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11 3 00 00000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11 3 01 0000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Содействие развитию молодежной инициативы, молодежного общественного движения, самореализации и самоопределения</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Образование</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00</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 xml:space="preserve">Молодежная политика </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179"/>
        </w:trPr>
        <w:tc>
          <w:tcPr>
            <w:tcW w:w="4320"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Иные закупки товаров, работ и услуг для государственных (муниципальных) нужд</w:t>
            </w:r>
          </w:p>
        </w:tc>
        <w:tc>
          <w:tcPr>
            <w:tcW w:w="808" w:type="dxa"/>
            <w:tcBorders>
              <w:top w:val="nil"/>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r w:rsidRPr="00896C17">
              <w:rPr>
                <w:sz w:val="20"/>
                <w:szCs w:val="20"/>
              </w:rPr>
              <w:t>248</w:t>
            </w:r>
          </w:p>
        </w:tc>
        <w:tc>
          <w:tcPr>
            <w:tcW w:w="1515" w:type="dxa"/>
            <w:tcBorders>
              <w:top w:val="nil"/>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07</w:t>
            </w:r>
          </w:p>
        </w:tc>
        <w:tc>
          <w:tcPr>
            <w:tcW w:w="72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r w:rsidRPr="00896C17">
              <w:rPr>
                <w:sz w:val="20"/>
                <w:szCs w:val="20"/>
              </w:rPr>
              <w:t>240</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sz w:val="20"/>
                <w:szCs w:val="20"/>
              </w:rPr>
            </w:pPr>
            <w:r w:rsidRPr="00896C17">
              <w:rPr>
                <w:sz w:val="20"/>
                <w:szCs w:val="20"/>
              </w:rPr>
              <w:t>43,1</w:t>
            </w:r>
          </w:p>
        </w:tc>
        <w:tc>
          <w:tcPr>
            <w:tcW w:w="1260" w:type="dxa"/>
            <w:tcBorders>
              <w:top w:val="nil"/>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sz w:val="20"/>
                <w:szCs w:val="20"/>
              </w:rPr>
            </w:pPr>
            <w:r w:rsidRPr="00896C17">
              <w:rPr>
                <w:sz w:val="20"/>
                <w:szCs w:val="20"/>
              </w:rPr>
              <w:t>43,1</w:t>
            </w:r>
          </w:p>
        </w:tc>
      </w:tr>
      <w:tr w:rsidR="0059739F" w:rsidTr="0059739F">
        <w:trPr>
          <w:trHeight w:val="273"/>
        </w:trPr>
        <w:tc>
          <w:tcPr>
            <w:tcW w:w="4320"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rPr>
                <w:sz w:val="22"/>
                <w:szCs w:val="22"/>
              </w:rPr>
            </w:pPr>
            <w:r w:rsidRPr="00896C17">
              <w:rPr>
                <w:sz w:val="22"/>
                <w:szCs w:val="22"/>
              </w:rPr>
              <w:t>ИТОГО РАСХОДОВ:</w:t>
            </w:r>
          </w:p>
        </w:tc>
        <w:tc>
          <w:tcPr>
            <w:tcW w:w="808"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rsidR="0059739F" w:rsidRPr="00896C17" w:rsidRDefault="0059739F" w:rsidP="0059739F">
            <w:pPr>
              <w:ind w:right="113"/>
              <w:jc w:val="right"/>
              <w:rPr>
                <w:bCs/>
                <w:sz w:val="22"/>
                <w:szCs w:val="22"/>
              </w:rPr>
            </w:pPr>
            <w:r w:rsidRPr="00896C17">
              <w:rPr>
                <w:bCs/>
                <w:sz w:val="22"/>
                <w:szCs w:val="22"/>
              </w:rPr>
              <w:t>379 427,9</w:t>
            </w:r>
          </w:p>
        </w:tc>
        <w:tc>
          <w:tcPr>
            <w:tcW w:w="1260" w:type="dxa"/>
            <w:tcBorders>
              <w:top w:val="single" w:sz="4" w:space="0" w:color="auto"/>
              <w:left w:val="nil"/>
              <w:bottom w:val="single" w:sz="4" w:space="0" w:color="auto"/>
              <w:right w:val="single" w:sz="4" w:space="0" w:color="auto"/>
            </w:tcBorders>
            <w:shd w:val="clear" w:color="auto" w:fill="auto"/>
          </w:tcPr>
          <w:p w:rsidR="0059739F" w:rsidRPr="00896C17" w:rsidRDefault="0059739F" w:rsidP="0059739F">
            <w:pPr>
              <w:ind w:right="97"/>
              <w:jc w:val="right"/>
              <w:rPr>
                <w:bCs/>
                <w:sz w:val="22"/>
                <w:szCs w:val="22"/>
              </w:rPr>
            </w:pPr>
            <w:r w:rsidRPr="00896C17">
              <w:rPr>
                <w:bCs/>
                <w:sz w:val="22"/>
                <w:szCs w:val="22"/>
              </w:rPr>
              <w:t>377 968,4</w:t>
            </w:r>
          </w:p>
        </w:tc>
      </w:tr>
      <w:tr w:rsidR="0059739F" w:rsidTr="0059739F">
        <w:trPr>
          <w:trHeight w:val="179"/>
        </w:trPr>
        <w:tc>
          <w:tcPr>
            <w:tcW w:w="4320"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rPr>
                <w:sz w:val="20"/>
                <w:szCs w:val="20"/>
              </w:rPr>
            </w:pPr>
            <w:r w:rsidRPr="00896C17">
              <w:rPr>
                <w:sz w:val="20"/>
                <w:szCs w:val="20"/>
              </w:rPr>
              <w:t>Условно утверждаемые расходы</w:t>
            </w:r>
          </w:p>
        </w:tc>
        <w:tc>
          <w:tcPr>
            <w:tcW w:w="808"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jc w:val="center"/>
              <w:rPr>
                <w:sz w:val="20"/>
                <w:szCs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0"/>
                <w:szCs w:val="20"/>
              </w:rPr>
            </w:pPr>
          </w:p>
        </w:tc>
        <w:tc>
          <w:tcPr>
            <w:tcW w:w="1260" w:type="dxa"/>
            <w:tcBorders>
              <w:top w:val="single" w:sz="4" w:space="0" w:color="auto"/>
              <w:left w:val="nil"/>
              <w:bottom w:val="single" w:sz="4" w:space="0" w:color="auto"/>
              <w:right w:val="single" w:sz="4" w:space="0" w:color="auto"/>
            </w:tcBorders>
            <w:shd w:val="clear" w:color="auto" w:fill="auto"/>
          </w:tcPr>
          <w:p w:rsidR="0059739F" w:rsidRPr="00896C17" w:rsidRDefault="0059739F" w:rsidP="0059739F">
            <w:pPr>
              <w:ind w:right="113"/>
              <w:jc w:val="right"/>
              <w:rPr>
                <w:sz w:val="20"/>
                <w:szCs w:val="20"/>
              </w:rPr>
            </w:pPr>
            <w:r>
              <w:rPr>
                <w:sz w:val="20"/>
                <w:szCs w:val="20"/>
              </w:rPr>
              <w:t>26 161,7</w:t>
            </w:r>
          </w:p>
        </w:tc>
        <w:tc>
          <w:tcPr>
            <w:tcW w:w="1260" w:type="dxa"/>
            <w:tcBorders>
              <w:top w:val="single" w:sz="4" w:space="0" w:color="auto"/>
              <w:left w:val="nil"/>
              <w:bottom w:val="single" w:sz="4" w:space="0" w:color="auto"/>
              <w:right w:val="single" w:sz="4" w:space="0" w:color="auto"/>
            </w:tcBorders>
            <w:shd w:val="clear" w:color="auto" w:fill="auto"/>
          </w:tcPr>
          <w:p w:rsidR="0059739F" w:rsidRPr="00896C17" w:rsidRDefault="0059739F" w:rsidP="0059739F">
            <w:pPr>
              <w:ind w:right="97"/>
              <w:jc w:val="right"/>
              <w:rPr>
                <w:sz w:val="20"/>
                <w:szCs w:val="20"/>
              </w:rPr>
            </w:pPr>
            <w:r>
              <w:rPr>
                <w:sz w:val="20"/>
                <w:szCs w:val="20"/>
              </w:rPr>
              <w:t>29 083,7</w:t>
            </w:r>
          </w:p>
        </w:tc>
      </w:tr>
      <w:tr w:rsidR="0059739F" w:rsidTr="0059739F">
        <w:trPr>
          <w:trHeight w:val="423"/>
        </w:trPr>
        <w:tc>
          <w:tcPr>
            <w:tcW w:w="4320"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rPr>
                <w:b/>
                <w:sz w:val="22"/>
                <w:szCs w:val="22"/>
              </w:rPr>
            </w:pPr>
            <w:r w:rsidRPr="00896C17">
              <w:rPr>
                <w:b/>
                <w:sz w:val="22"/>
                <w:szCs w:val="22"/>
              </w:rPr>
              <w:t>ВСЕГО РАСХОДОВ:</w:t>
            </w:r>
          </w:p>
        </w:tc>
        <w:tc>
          <w:tcPr>
            <w:tcW w:w="808" w:type="dxa"/>
            <w:tcBorders>
              <w:top w:val="single" w:sz="4" w:space="0" w:color="auto"/>
              <w:left w:val="single" w:sz="4" w:space="0" w:color="auto"/>
              <w:bottom w:val="single" w:sz="4" w:space="0" w:color="auto"/>
              <w:right w:val="nil"/>
            </w:tcBorders>
            <w:shd w:val="clear" w:color="auto" w:fill="auto"/>
            <w:vAlign w:val="bottom"/>
          </w:tcPr>
          <w:p w:rsidR="0059739F" w:rsidRPr="00896C17" w:rsidRDefault="0059739F" w:rsidP="0059739F">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54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ind w:right="113"/>
              <w:jc w:val="right"/>
              <w:rPr>
                <w:b/>
                <w:bCs/>
                <w:sz w:val="22"/>
                <w:szCs w:val="22"/>
              </w:rPr>
            </w:pPr>
            <w:r w:rsidRPr="00896C17">
              <w:rPr>
                <w:b/>
                <w:bCs/>
                <w:sz w:val="22"/>
                <w:szCs w:val="22"/>
              </w:rPr>
              <w:t>40</w:t>
            </w:r>
            <w:r>
              <w:rPr>
                <w:b/>
                <w:bCs/>
                <w:sz w:val="22"/>
                <w:szCs w:val="22"/>
              </w:rPr>
              <w:t>5 589,6</w:t>
            </w:r>
          </w:p>
        </w:tc>
        <w:tc>
          <w:tcPr>
            <w:tcW w:w="1260" w:type="dxa"/>
            <w:tcBorders>
              <w:top w:val="single" w:sz="4" w:space="0" w:color="auto"/>
              <w:left w:val="nil"/>
              <w:bottom w:val="single" w:sz="4" w:space="0" w:color="auto"/>
              <w:right w:val="single" w:sz="4" w:space="0" w:color="auto"/>
            </w:tcBorders>
            <w:shd w:val="clear" w:color="auto" w:fill="auto"/>
            <w:vAlign w:val="bottom"/>
          </w:tcPr>
          <w:p w:rsidR="0059739F" w:rsidRPr="00896C17" w:rsidRDefault="0059739F" w:rsidP="0059739F">
            <w:pPr>
              <w:ind w:right="97"/>
              <w:jc w:val="right"/>
              <w:rPr>
                <w:b/>
                <w:bCs/>
                <w:sz w:val="22"/>
                <w:szCs w:val="22"/>
              </w:rPr>
            </w:pPr>
            <w:r w:rsidRPr="00896C17">
              <w:rPr>
                <w:b/>
                <w:bCs/>
                <w:sz w:val="22"/>
                <w:szCs w:val="22"/>
              </w:rPr>
              <w:t>40</w:t>
            </w:r>
            <w:r>
              <w:rPr>
                <w:b/>
                <w:bCs/>
                <w:sz w:val="22"/>
                <w:szCs w:val="22"/>
              </w:rPr>
              <w:t>7 052,1</w:t>
            </w:r>
          </w:p>
        </w:tc>
      </w:tr>
    </w:tbl>
    <w:p w:rsidR="0059739F" w:rsidRDefault="0059739F" w:rsidP="0059739F">
      <w:pPr>
        <w:rPr>
          <w:sz w:val="16"/>
          <w:szCs w:val="16"/>
        </w:rPr>
      </w:pPr>
    </w:p>
    <w:p w:rsidR="0059739F" w:rsidRDefault="0059739F" w:rsidP="0059739F">
      <w:pPr>
        <w:rPr>
          <w:sz w:val="16"/>
          <w:szCs w:val="16"/>
        </w:rPr>
      </w:pPr>
    </w:p>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C6" w:rsidRDefault="008909C6" w:rsidP="006B1A05">
      <w:r>
        <w:separator/>
      </w:r>
    </w:p>
  </w:endnote>
  <w:endnote w:type="continuationSeparator" w:id="0">
    <w:p w:rsidR="008909C6" w:rsidRDefault="008909C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C6" w:rsidRDefault="008909C6" w:rsidP="006B1A05">
      <w:r>
        <w:separator/>
      </w:r>
    </w:p>
  </w:footnote>
  <w:footnote w:type="continuationSeparator" w:id="0">
    <w:p w:rsidR="008909C6" w:rsidRDefault="008909C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59739F" w:rsidRDefault="0059739F">
        <w:pPr>
          <w:pStyle w:val="a8"/>
          <w:jc w:val="center"/>
        </w:pPr>
        <w:fldSimple w:instr=" PAGE   \* MERGEFORMAT ">
          <w:r w:rsidR="00571A9E">
            <w:rPr>
              <w:noProof/>
            </w:rPr>
            <w:t>2</w:t>
          </w:r>
        </w:fldSimple>
      </w:p>
    </w:sdtContent>
  </w:sdt>
  <w:p w:rsidR="0059739F" w:rsidRDefault="005973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4CA3"/>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AF7"/>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9E"/>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9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9C6"/>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6D8"/>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9A09-BEAF-4E5C-BC6D-4B88AA8D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2016-12-12T09:00:00Z</cp:lastPrinted>
  <dcterms:created xsi:type="dcterms:W3CDTF">2016-12-12T08:16:00Z</dcterms:created>
  <dcterms:modified xsi:type="dcterms:W3CDTF">2016-12-12T09:03:00Z</dcterms:modified>
</cp:coreProperties>
</file>