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298" cy="599791"/>
            <wp:effectExtent l="19050" t="0" r="11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00353"/>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DD4C98" w:rsidP="00DD4C98">
            <w:pPr>
              <w:rPr>
                <w:szCs w:val="28"/>
              </w:rPr>
            </w:pPr>
            <w:r>
              <w:rPr>
                <w:sz w:val="28"/>
                <w:szCs w:val="28"/>
              </w:rPr>
              <w:t>31</w:t>
            </w:r>
            <w:r w:rsidR="00F01DE5" w:rsidRPr="00C46718">
              <w:rPr>
                <w:sz w:val="28"/>
                <w:szCs w:val="28"/>
              </w:rPr>
              <w:t>.</w:t>
            </w:r>
            <w:r w:rsidR="00455A3F">
              <w:rPr>
                <w:sz w:val="28"/>
                <w:szCs w:val="28"/>
              </w:rPr>
              <w:t>0</w:t>
            </w:r>
            <w:r>
              <w:rPr>
                <w:sz w:val="28"/>
                <w:szCs w:val="28"/>
              </w:rPr>
              <w:t>3</w:t>
            </w:r>
            <w:r w:rsidR="00F01DE5" w:rsidRPr="00C46718">
              <w:rPr>
                <w:sz w:val="28"/>
                <w:szCs w:val="28"/>
              </w:rPr>
              <w:t>.201</w:t>
            </w:r>
            <w:r w:rsidR="001F6BE6">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2E0F5B">
              <w:rPr>
                <w:sz w:val="28"/>
                <w:szCs w:val="28"/>
              </w:rPr>
              <w:t>5</w:t>
            </w:r>
            <w:r w:rsidR="00EA116F">
              <w:rPr>
                <w:sz w:val="28"/>
                <w:szCs w:val="28"/>
              </w:rPr>
              <w:t>6</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DD4C98" w:rsidRDefault="00DD4C98" w:rsidP="00964980">
      <w:pPr>
        <w:ind w:left="567" w:right="4250"/>
      </w:pPr>
    </w:p>
    <w:p w:rsidR="00EA116F" w:rsidRPr="00130E96" w:rsidRDefault="00EA116F" w:rsidP="00EA116F">
      <w:pPr>
        <w:shd w:val="clear" w:color="auto" w:fill="FFFFFF"/>
        <w:autoSpaceDE w:val="0"/>
        <w:autoSpaceDN w:val="0"/>
        <w:adjustRightInd w:val="0"/>
        <w:ind w:left="567" w:right="4251"/>
        <w:rPr>
          <w:color w:val="000000"/>
          <w:sz w:val="28"/>
          <w:szCs w:val="28"/>
        </w:rPr>
      </w:pPr>
      <w:r w:rsidRPr="00130E96">
        <w:rPr>
          <w:color w:val="000000"/>
          <w:sz w:val="28"/>
          <w:szCs w:val="28"/>
        </w:rPr>
        <w:t>О внесении изменений в решение</w:t>
      </w:r>
      <w:r>
        <w:rPr>
          <w:color w:val="000000"/>
          <w:sz w:val="28"/>
          <w:szCs w:val="28"/>
        </w:rPr>
        <w:t xml:space="preserve"> </w:t>
      </w:r>
      <w:r w:rsidRPr="00130E96">
        <w:rPr>
          <w:color w:val="000000"/>
          <w:sz w:val="28"/>
          <w:szCs w:val="28"/>
        </w:rPr>
        <w:t>Муниципального Собрания от</w:t>
      </w:r>
      <w:r>
        <w:rPr>
          <w:color w:val="000000"/>
          <w:sz w:val="28"/>
          <w:szCs w:val="28"/>
        </w:rPr>
        <w:t> </w:t>
      </w:r>
      <w:r w:rsidRPr="00130E96">
        <w:rPr>
          <w:color w:val="000000"/>
          <w:sz w:val="28"/>
          <w:szCs w:val="28"/>
        </w:rPr>
        <w:t xml:space="preserve">30.09.2016 </w:t>
      </w:r>
      <w:r>
        <w:rPr>
          <w:color w:val="000000"/>
          <w:sz w:val="28"/>
          <w:szCs w:val="28"/>
        </w:rPr>
        <w:t>№ </w:t>
      </w:r>
      <w:r w:rsidRPr="00130E96">
        <w:rPr>
          <w:color w:val="000000"/>
          <w:sz w:val="28"/>
          <w:szCs w:val="28"/>
        </w:rPr>
        <w:t>295</w:t>
      </w:r>
    </w:p>
    <w:p w:rsidR="00EA116F" w:rsidRPr="00130E96" w:rsidRDefault="00EA116F" w:rsidP="00EA116F">
      <w:pPr>
        <w:ind w:right="4251" w:firstLine="567"/>
        <w:jc w:val="both"/>
        <w:rPr>
          <w:sz w:val="28"/>
          <w:szCs w:val="28"/>
        </w:rPr>
      </w:pPr>
    </w:p>
    <w:p w:rsidR="00EA116F" w:rsidRDefault="00EA116F" w:rsidP="00EA116F">
      <w:pPr>
        <w:ind w:firstLine="567"/>
        <w:jc w:val="both"/>
        <w:rPr>
          <w:sz w:val="26"/>
          <w:szCs w:val="26"/>
        </w:rPr>
      </w:pPr>
    </w:p>
    <w:p w:rsidR="00EA116F" w:rsidRPr="0049687C" w:rsidRDefault="00EA116F" w:rsidP="00EA116F">
      <w:pPr>
        <w:shd w:val="clear" w:color="auto" w:fill="FFFFFF"/>
        <w:autoSpaceDE w:val="0"/>
        <w:autoSpaceDN w:val="0"/>
        <w:adjustRightInd w:val="0"/>
        <w:ind w:firstLine="567"/>
        <w:jc w:val="both"/>
        <w:rPr>
          <w:b/>
          <w:bCs/>
          <w:color w:val="000000"/>
          <w:sz w:val="26"/>
          <w:szCs w:val="26"/>
        </w:rPr>
      </w:pPr>
      <w:r w:rsidRPr="0049687C">
        <w:rPr>
          <w:color w:val="000000"/>
          <w:sz w:val="26"/>
          <w:szCs w:val="26"/>
        </w:rPr>
        <w:t xml:space="preserve">Муниципальное Собрание Кичменгско-Городецкого муниципального района </w:t>
      </w:r>
      <w:r w:rsidRPr="0049687C">
        <w:rPr>
          <w:b/>
          <w:bCs/>
          <w:color w:val="000000"/>
          <w:sz w:val="26"/>
          <w:szCs w:val="26"/>
        </w:rPr>
        <w:t>РЕШИЛО:</w:t>
      </w:r>
    </w:p>
    <w:p w:rsidR="00EA116F" w:rsidRPr="00801E3D" w:rsidRDefault="00EA116F" w:rsidP="00EA116F">
      <w:pPr>
        <w:numPr>
          <w:ilvl w:val="0"/>
          <w:numId w:val="23"/>
        </w:numPr>
        <w:shd w:val="clear" w:color="auto" w:fill="FFFFFF"/>
        <w:tabs>
          <w:tab w:val="left" w:pos="851"/>
        </w:tabs>
        <w:autoSpaceDE w:val="0"/>
        <w:autoSpaceDN w:val="0"/>
        <w:adjustRightInd w:val="0"/>
        <w:ind w:left="0" w:firstLine="567"/>
        <w:jc w:val="both"/>
        <w:rPr>
          <w:sz w:val="26"/>
          <w:szCs w:val="26"/>
        </w:rPr>
      </w:pPr>
      <w:r w:rsidRPr="0049687C">
        <w:rPr>
          <w:sz w:val="26"/>
          <w:szCs w:val="26"/>
        </w:rPr>
        <w:t>Внести в решение Муниципального Собрания от</w:t>
      </w:r>
      <w:r>
        <w:rPr>
          <w:sz w:val="26"/>
          <w:szCs w:val="26"/>
        </w:rPr>
        <w:t> 30.09.2016</w:t>
      </w:r>
      <w:r w:rsidRPr="0049687C">
        <w:rPr>
          <w:sz w:val="26"/>
          <w:szCs w:val="26"/>
        </w:rPr>
        <w:t xml:space="preserve"> №</w:t>
      </w:r>
      <w:r>
        <w:rPr>
          <w:sz w:val="26"/>
          <w:szCs w:val="26"/>
        </w:rPr>
        <w:t> 295</w:t>
      </w:r>
      <w:r w:rsidRPr="0049687C">
        <w:rPr>
          <w:sz w:val="26"/>
          <w:szCs w:val="26"/>
        </w:rPr>
        <w:t xml:space="preserve"> «Об утверждении Положения о бюджетном процессе Кичменгско-Городецкого муниципального района Вологодской области» следующие изменения:</w:t>
      </w:r>
    </w:p>
    <w:p w:rsidR="00EA116F" w:rsidRDefault="00EA116F" w:rsidP="00EA116F">
      <w:pPr>
        <w:numPr>
          <w:ilvl w:val="1"/>
          <w:numId w:val="23"/>
        </w:numPr>
        <w:shd w:val="clear" w:color="auto" w:fill="FFFFFF"/>
        <w:tabs>
          <w:tab w:val="clear" w:pos="1440"/>
          <w:tab w:val="left" w:pos="426"/>
          <w:tab w:val="left" w:pos="993"/>
        </w:tabs>
        <w:ind w:left="0" w:firstLine="567"/>
        <w:jc w:val="both"/>
        <w:rPr>
          <w:sz w:val="26"/>
          <w:szCs w:val="26"/>
        </w:rPr>
      </w:pPr>
      <w:r>
        <w:rPr>
          <w:sz w:val="26"/>
          <w:szCs w:val="26"/>
        </w:rPr>
        <w:t>Подпункт 2 пункта 12 раздела </w:t>
      </w:r>
      <w:r>
        <w:rPr>
          <w:sz w:val="26"/>
          <w:szCs w:val="26"/>
          <w:lang w:val="en-US"/>
        </w:rPr>
        <w:t>III</w:t>
      </w:r>
      <w:r>
        <w:rPr>
          <w:sz w:val="26"/>
          <w:szCs w:val="26"/>
        </w:rPr>
        <w:t xml:space="preserve"> Положения изложить в следующей редакции:</w:t>
      </w:r>
    </w:p>
    <w:p w:rsidR="00EA116F" w:rsidRDefault="00EA116F" w:rsidP="00EA116F">
      <w:pPr>
        <w:shd w:val="clear" w:color="auto" w:fill="FFFFFF"/>
        <w:ind w:firstLine="567"/>
        <w:jc w:val="both"/>
        <w:rPr>
          <w:sz w:val="26"/>
          <w:szCs w:val="26"/>
        </w:rPr>
      </w:pPr>
      <w:r>
        <w:rPr>
          <w:sz w:val="26"/>
          <w:szCs w:val="26"/>
        </w:rPr>
        <w:t>«2. Право осуществления муниципальных внутренних заимствований от имени Кичменгско-Городецкого муниципального района принадлежит администрации района».</w:t>
      </w:r>
    </w:p>
    <w:p w:rsidR="00EA116F" w:rsidRPr="00100374" w:rsidRDefault="00EA116F" w:rsidP="00EA116F">
      <w:pPr>
        <w:shd w:val="clear" w:color="auto" w:fill="FFFFFF"/>
        <w:ind w:firstLine="567"/>
        <w:jc w:val="both"/>
        <w:rPr>
          <w:sz w:val="26"/>
          <w:szCs w:val="26"/>
        </w:rPr>
      </w:pPr>
      <w:r>
        <w:rPr>
          <w:sz w:val="26"/>
          <w:szCs w:val="26"/>
        </w:rPr>
        <w:t>1.2. В абзаце 4 подпункта 1 пункта 13 раздела </w:t>
      </w:r>
      <w:r>
        <w:rPr>
          <w:sz w:val="26"/>
          <w:szCs w:val="26"/>
          <w:lang w:val="en-US"/>
        </w:rPr>
        <w:t>IV</w:t>
      </w:r>
      <w:r>
        <w:rPr>
          <w:sz w:val="26"/>
          <w:szCs w:val="26"/>
        </w:rPr>
        <w:t xml:space="preserve"> Положения слова «районного бюджета» заменить словами «консолидированного бюджета».</w:t>
      </w:r>
    </w:p>
    <w:p w:rsidR="00EA116F" w:rsidRDefault="00EA116F" w:rsidP="00EA116F">
      <w:pPr>
        <w:numPr>
          <w:ilvl w:val="1"/>
          <w:numId w:val="37"/>
        </w:numPr>
        <w:shd w:val="clear" w:color="auto" w:fill="FFFFFF"/>
        <w:tabs>
          <w:tab w:val="clear" w:pos="1260"/>
          <w:tab w:val="num" w:pos="0"/>
          <w:tab w:val="left" w:pos="426"/>
          <w:tab w:val="left" w:pos="993"/>
        </w:tabs>
        <w:ind w:left="0" w:firstLine="567"/>
        <w:jc w:val="both"/>
        <w:rPr>
          <w:sz w:val="26"/>
          <w:szCs w:val="26"/>
        </w:rPr>
      </w:pPr>
      <w:r>
        <w:rPr>
          <w:color w:val="000000"/>
          <w:sz w:val="26"/>
          <w:szCs w:val="26"/>
        </w:rPr>
        <w:t>Подпункт 2 пункта 14</w:t>
      </w:r>
      <w:r w:rsidRPr="00D52E22">
        <w:rPr>
          <w:color w:val="000000"/>
          <w:sz w:val="26"/>
          <w:szCs w:val="26"/>
        </w:rPr>
        <w:t xml:space="preserve"> </w:t>
      </w:r>
      <w:r w:rsidRPr="00DB0BD7">
        <w:rPr>
          <w:sz w:val="26"/>
          <w:szCs w:val="26"/>
        </w:rPr>
        <w:t>раздел</w:t>
      </w:r>
      <w:r>
        <w:rPr>
          <w:sz w:val="26"/>
          <w:szCs w:val="26"/>
        </w:rPr>
        <w:t>а </w:t>
      </w:r>
      <w:r w:rsidRPr="00DB0BD7">
        <w:rPr>
          <w:sz w:val="26"/>
          <w:szCs w:val="26"/>
          <w:lang w:val="en-US"/>
        </w:rPr>
        <w:t>IV</w:t>
      </w:r>
      <w:r w:rsidRPr="00DB0BD7">
        <w:rPr>
          <w:color w:val="000000"/>
          <w:sz w:val="26"/>
          <w:szCs w:val="26"/>
        </w:rPr>
        <w:t xml:space="preserve"> Положения</w:t>
      </w:r>
      <w:r>
        <w:rPr>
          <w:color w:val="000000"/>
          <w:sz w:val="26"/>
          <w:szCs w:val="26"/>
        </w:rPr>
        <w:t xml:space="preserve"> </w:t>
      </w:r>
      <w:r w:rsidRPr="007C432B">
        <w:rPr>
          <w:sz w:val="26"/>
          <w:szCs w:val="26"/>
        </w:rPr>
        <w:t>изложить в следующей редакции:</w:t>
      </w:r>
    </w:p>
    <w:p w:rsidR="00EA116F" w:rsidRPr="007C432B" w:rsidRDefault="00EA116F" w:rsidP="00EA116F">
      <w:pPr>
        <w:shd w:val="clear" w:color="auto" w:fill="FFFFFF"/>
        <w:ind w:firstLine="567"/>
        <w:jc w:val="both"/>
        <w:rPr>
          <w:sz w:val="26"/>
          <w:szCs w:val="26"/>
        </w:rPr>
      </w:pPr>
      <w:r>
        <w:rPr>
          <w:sz w:val="26"/>
          <w:szCs w:val="26"/>
        </w:rPr>
        <w:t xml:space="preserve">«2. В течение суток со дня внесения в Муниципальное Собрание проект решения о районном бюджете на очередной финансовый год и плановый период направляется в постоянную комиссию по бюджету, налогам и местным сборам </w:t>
      </w:r>
      <w:r w:rsidRPr="00845A98">
        <w:rPr>
          <w:sz w:val="26"/>
          <w:szCs w:val="26"/>
        </w:rPr>
        <w:t>и контрольно-ревизионную комиссию для проведения экспертизы</w:t>
      </w:r>
      <w:r>
        <w:rPr>
          <w:sz w:val="26"/>
          <w:szCs w:val="26"/>
        </w:rPr>
        <w:t xml:space="preserve"> и подготовки в течение трех рабочих дней заключения на проект решения о бюджете».</w:t>
      </w:r>
    </w:p>
    <w:p w:rsidR="00EA116F" w:rsidRDefault="00EA116F" w:rsidP="00EA116F">
      <w:pPr>
        <w:numPr>
          <w:ilvl w:val="1"/>
          <w:numId w:val="37"/>
        </w:numPr>
        <w:shd w:val="clear" w:color="auto" w:fill="FFFFFF"/>
        <w:tabs>
          <w:tab w:val="clear" w:pos="1260"/>
          <w:tab w:val="num" w:pos="0"/>
          <w:tab w:val="left" w:pos="993"/>
        </w:tabs>
        <w:ind w:left="0" w:firstLine="567"/>
        <w:jc w:val="both"/>
        <w:rPr>
          <w:color w:val="000000"/>
          <w:sz w:val="26"/>
          <w:szCs w:val="26"/>
        </w:rPr>
      </w:pPr>
      <w:r>
        <w:rPr>
          <w:color w:val="000000"/>
          <w:sz w:val="26"/>
          <w:szCs w:val="26"/>
        </w:rPr>
        <w:t>Подпункт 4 пункта 15</w:t>
      </w:r>
      <w:r w:rsidRPr="00D52E22">
        <w:rPr>
          <w:color w:val="000000"/>
          <w:sz w:val="26"/>
          <w:szCs w:val="26"/>
        </w:rPr>
        <w:t xml:space="preserve"> </w:t>
      </w:r>
      <w:r w:rsidRPr="00DB0BD7">
        <w:rPr>
          <w:sz w:val="26"/>
          <w:szCs w:val="26"/>
        </w:rPr>
        <w:t>раздел</w:t>
      </w:r>
      <w:r>
        <w:rPr>
          <w:sz w:val="26"/>
          <w:szCs w:val="26"/>
        </w:rPr>
        <w:t>а </w:t>
      </w:r>
      <w:r w:rsidRPr="00DB0BD7">
        <w:rPr>
          <w:sz w:val="26"/>
          <w:szCs w:val="26"/>
          <w:lang w:val="en-US"/>
        </w:rPr>
        <w:t>IV</w:t>
      </w:r>
      <w:r w:rsidRPr="00DB0BD7">
        <w:rPr>
          <w:color w:val="000000"/>
          <w:sz w:val="26"/>
          <w:szCs w:val="26"/>
        </w:rPr>
        <w:t xml:space="preserve"> Положения</w:t>
      </w:r>
      <w:r>
        <w:rPr>
          <w:color w:val="000000"/>
          <w:sz w:val="26"/>
          <w:szCs w:val="26"/>
        </w:rPr>
        <w:t xml:space="preserve"> дополнить подпунктами следующего содержания:</w:t>
      </w:r>
    </w:p>
    <w:p w:rsidR="00EA116F" w:rsidRDefault="00EA116F" w:rsidP="00EA116F">
      <w:pPr>
        <w:shd w:val="clear" w:color="auto" w:fill="FFFFFF"/>
        <w:tabs>
          <w:tab w:val="left" w:pos="426"/>
        </w:tabs>
        <w:ind w:firstLine="567"/>
        <w:jc w:val="both"/>
        <w:rPr>
          <w:color w:val="000000"/>
          <w:sz w:val="26"/>
          <w:szCs w:val="26"/>
        </w:rPr>
      </w:pPr>
      <w:r>
        <w:rPr>
          <w:color w:val="000000"/>
          <w:sz w:val="26"/>
          <w:szCs w:val="26"/>
        </w:rPr>
        <w:t>10) перечень главных администраторов доходов районного бюджета;</w:t>
      </w:r>
    </w:p>
    <w:p w:rsidR="00EA116F" w:rsidRDefault="00EA116F" w:rsidP="00EA116F">
      <w:pPr>
        <w:shd w:val="clear" w:color="auto" w:fill="FFFFFF"/>
        <w:tabs>
          <w:tab w:val="left" w:pos="993"/>
        </w:tabs>
        <w:ind w:firstLine="567"/>
        <w:jc w:val="both"/>
        <w:rPr>
          <w:color w:val="000000"/>
          <w:sz w:val="26"/>
          <w:szCs w:val="26"/>
        </w:rPr>
      </w:pPr>
      <w:r>
        <w:rPr>
          <w:color w:val="000000"/>
          <w:sz w:val="26"/>
          <w:szCs w:val="26"/>
        </w:rPr>
        <w:t>11) перечень главных администраторов источников финансирования дефицита районного бюджета;</w:t>
      </w:r>
    </w:p>
    <w:p w:rsidR="00EA116F" w:rsidRDefault="00EA116F" w:rsidP="00EA116F">
      <w:pPr>
        <w:shd w:val="clear" w:color="auto" w:fill="FFFFFF"/>
        <w:ind w:firstLine="567"/>
        <w:jc w:val="both"/>
        <w:rPr>
          <w:color w:val="000000"/>
          <w:sz w:val="26"/>
          <w:szCs w:val="26"/>
        </w:rPr>
      </w:pPr>
      <w:r>
        <w:rPr>
          <w:color w:val="000000"/>
          <w:sz w:val="26"/>
          <w:szCs w:val="26"/>
        </w:rPr>
        <w:t xml:space="preserve">12)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Pr>
          <w:color w:val="000000"/>
          <w:sz w:val="26"/>
          <w:szCs w:val="26"/>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EA116F" w:rsidRDefault="00EA116F" w:rsidP="00EA116F">
      <w:pPr>
        <w:shd w:val="clear" w:color="auto" w:fill="FFFFFF"/>
        <w:ind w:firstLine="567"/>
        <w:jc w:val="both"/>
        <w:rPr>
          <w:color w:val="000000"/>
          <w:sz w:val="26"/>
          <w:szCs w:val="26"/>
        </w:rPr>
      </w:pPr>
      <w:r>
        <w:rPr>
          <w:color w:val="000000"/>
          <w:sz w:val="26"/>
          <w:szCs w:val="26"/>
        </w:rPr>
        <w:t>13) ведомственная структура расходов районного бюджета на очередной финансовый год и плановый период;</w:t>
      </w:r>
    </w:p>
    <w:p w:rsidR="00EA116F" w:rsidRDefault="00EA116F" w:rsidP="00EA116F">
      <w:pPr>
        <w:shd w:val="clear" w:color="auto" w:fill="FFFFFF"/>
        <w:ind w:firstLine="567"/>
        <w:jc w:val="both"/>
        <w:rPr>
          <w:color w:val="000000"/>
          <w:sz w:val="26"/>
          <w:szCs w:val="26"/>
        </w:rPr>
      </w:pPr>
      <w:r>
        <w:rPr>
          <w:color w:val="000000"/>
          <w:sz w:val="26"/>
          <w:szCs w:val="26"/>
        </w:rPr>
        <w:t>14) общий объем бюджетных ассигнований, направляемых на исполнение публичных нормативных обязательств;</w:t>
      </w:r>
    </w:p>
    <w:p w:rsidR="00EA116F" w:rsidRDefault="00EA116F" w:rsidP="00EA116F">
      <w:pPr>
        <w:shd w:val="clear" w:color="auto" w:fill="FFFFFF"/>
        <w:ind w:firstLine="567"/>
        <w:jc w:val="both"/>
        <w:rPr>
          <w:color w:val="000000"/>
          <w:sz w:val="26"/>
          <w:szCs w:val="26"/>
        </w:rPr>
      </w:pPr>
      <w:r>
        <w:rPr>
          <w:color w:val="000000"/>
          <w:sz w:val="26"/>
          <w:szCs w:val="26"/>
        </w:rPr>
        <w:t>15) источники финансирования дефицита районного бюджета на очередной финансовый год и плановый период;</w:t>
      </w:r>
    </w:p>
    <w:p w:rsidR="00EA116F" w:rsidRDefault="00EA116F" w:rsidP="00EA116F">
      <w:pPr>
        <w:shd w:val="clear" w:color="auto" w:fill="FFFFFF"/>
        <w:ind w:firstLine="567"/>
        <w:jc w:val="both"/>
        <w:rPr>
          <w:color w:val="000000"/>
          <w:sz w:val="26"/>
          <w:szCs w:val="26"/>
        </w:rPr>
      </w:pPr>
      <w:r>
        <w:rPr>
          <w:color w:val="000000"/>
          <w:sz w:val="26"/>
          <w:szCs w:val="26"/>
        </w:rPr>
        <w:t>16) иные показатели районного бюджета, установленные муниципальным правовым актом представительного органа муниципального образования.</w:t>
      </w:r>
    </w:p>
    <w:p w:rsidR="00EA116F" w:rsidRDefault="00EA116F" w:rsidP="00EA116F">
      <w:pPr>
        <w:shd w:val="clear" w:color="auto" w:fill="FFFFFF"/>
        <w:ind w:firstLine="567"/>
        <w:jc w:val="both"/>
        <w:rPr>
          <w:sz w:val="26"/>
          <w:szCs w:val="26"/>
        </w:rPr>
      </w:pPr>
      <w:r>
        <w:rPr>
          <w:color w:val="000000"/>
          <w:sz w:val="26"/>
          <w:szCs w:val="26"/>
        </w:rPr>
        <w:t xml:space="preserve">1.5. Подпункт 4 пункта 22 </w:t>
      </w:r>
      <w:r w:rsidRPr="00DB0BD7">
        <w:rPr>
          <w:sz w:val="26"/>
          <w:szCs w:val="26"/>
        </w:rPr>
        <w:t>раздел</w:t>
      </w:r>
      <w:r>
        <w:rPr>
          <w:sz w:val="26"/>
          <w:szCs w:val="26"/>
        </w:rPr>
        <w:t>а </w:t>
      </w:r>
      <w:r w:rsidRPr="00DB0BD7">
        <w:rPr>
          <w:sz w:val="26"/>
          <w:szCs w:val="26"/>
          <w:lang w:val="en-US"/>
        </w:rPr>
        <w:t>VI</w:t>
      </w:r>
      <w:r w:rsidRPr="00DB0BD7">
        <w:rPr>
          <w:color w:val="000000"/>
          <w:sz w:val="26"/>
          <w:szCs w:val="26"/>
        </w:rPr>
        <w:t xml:space="preserve"> Положения</w:t>
      </w:r>
      <w:r>
        <w:rPr>
          <w:color w:val="000000"/>
          <w:sz w:val="26"/>
          <w:szCs w:val="26"/>
        </w:rPr>
        <w:t xml:space="preserve"> </w:t>
      </w:r>
      <w:r w:rsidRPr="007C432B">
        <w:rPr>
          <w:sz w:val="26"/>
          <w:szCs w:val="26"/>
        </w:rPr>
        <w:t>изложить в следующей редакции:</w:t>
      </w:r>
    </w:p>
    <w:p w:rsidR="00EA116F" w:rsidRDefault="00EA116F" w:rsidP="00EA116F">
      <w:pPr>
        <w:shd w:val="clear" w:color="auto" w:fill="FFFFFF"/>
        <w:ind w:firstLine="567"/>
        <w:jc w:val="both"/>
        <w:rPr>
          <w:sz w:val="26"/>
          <w:szCs w:val="26"/>
        </w:rPr>
      </w:pPr>
      <w:r>
        <w:rPr>
          <w:sz w:val="26"/>
          <w:szCs w:val="26"/>
        </w:rPr>
        <w:t>«4. Отчет об исполнении районного бюджета за 1 квартал, полугодие и девять месяцев текущего финансового года утверждается администрацией района и направляется в Муниципальное Собрание и контрольно-ревизионную комиссию».</w:t>
      </w:r>
    </w:p>
    <w:p w:rsidR="00EA116F" w:rsidRDefault="00EA116F" w:rsidP="00EA116F">
      <w:pPr>
        <w:shd w:val="clear" w:color="auto" w:fill="FFFFFF"/>
        <w:tabs>
          <w:tab w:val="left" w:pos="426"/>
        </w:tabs>
        <w:ind w:firstLine="567"/>
        <w:jc w:val="both"/>
        <w:rPr>
          <w:sz w:val="26"/>
          <w:szCs w:val="26"/>
        </w:rPr>
      </w:pPr>
      <w:r>
        <w:rPr>
          <w:sz w:val="26"/>
          <w:szCs w:val="26"/>
        </w:rPr>
        <w:t xml:space="preserve">1.6. </w:t>
      </w:r>
      <w:r>
        <w:rPr>
          <w:color w:val="000000"/>
          <w:sz w:val="26"/>
          <w:szCs w:val="26"/>
        </w:rPr>
        <w:t>Подпункт </w:t>
      </w:r>
      <w:r>
        <w:rPr>
          <w:sz w:val="26"/>
          <w:szCs w:val="26"/>
        </w:rPr>
        <w:t xml:space="preserve">5 </w:t>
      </w:r>
      <w:r>
        <w:rPr>
          <w:color w:val="000000"/>
          <w:sz w:val="26"/>
          <w:szCs w:val="26"/>
        </w:rPr>
        <w:t>пункта </w:t>
      </w:r>
      <w:r>
        <w:rPr>
          <w:sz w:val="26"/>
          <w:szCs w:val="26"/>
        </w:rPr>
        <w:t xml:space="preserve">24 </w:t>
      </w:r>
      <w:r w:rsidRPr="00DB0BD7">
        <w:rPr>
          <w:sz w:val="26"/>
          <w:szCs w:val="26"/>
        </w:rPr>
        <w:t>раздел</w:t>
      </w:r>
      <w:r>
        <w:rPr>
          <w:sz w:val="26"/>
          <w:szCs w:val="26"/>
        </w:rPr>
        <w:t>а </w:t>
      </w:r>
      <w:r w:rsidRPr="00DB0BD7">
        <w:rPr>
          <w:sz w:val="26"/>
          <w:szCs w:val="26"/>
          <w:lang w:val="en-US"/>
        </w:rPr>
        <w:t>VI</w:t>
      </w:r>
      <w:r w:rsidRPr="00DB0BD7">
        <w:rPr>
          <w:color w:val="000000"/>
          <w:sz w:val="26"/>
          <w:szCs w:val="26"/>
        </w:rPr>
        <w:t xml:space="preserve"> Положения</w:t>
      </w:r>
      <w:r>
        <w:rPr>
          <w:color w:val="000000"/>
          <w:sz w:val="26"/>
          <w:szCs w:val="26"/>
        </w:rPr>
        <w:t xml:space="preserve"> </w:t>
      </w:r>
      <w:r w:rsidRPr="007C432B">
        <w:rPr>
          <w:sz w:val="26"/>
          <w:szCs w:val="26"/>
        </w:rPr>
        <w:t>изложить в следующей редакции:</w:t>
      </w:r>
    </w:p>
    <w:p w:rsidR="00EA116F" w:rsidRDefault="00EA116F" w:rsidP="00EA116F">
      <w:pPr>
        <w:shd w:val="clear" w:color="auto" w:fill="FFFFFF"/>
        <w:tabs>
          <w:tab w:val="left" w:pos="426"/>
        </w:tabs>
        <w:ind w:firstLine="567"/>
        <w:jc w:val="both"/>
        <w:rPr>
          <w:sz w:val="26"/>
          <w:szCs w:val="26"/>
        </w:rPr>
      </w:pPr>
      <w:r>
        <w:rPr>
          <w:sz w:val="26"/>
          <w:szCs w:val="26"/>
        </w:rPr>
        <w:t>«5. Контрольно-ревизионная комиссия представляет заключение на годовой отчет об исполнении районного бюджета в Муниципальное Собрание района и одновременно направляет в администрацию района».</w:t>
      </w:r>
    </w:p>
    <w:p w:rsidR="00EA116F" w:rsidRPr="00092769" w:rsidRDefault="00EA116F" w:rsidP="00EA116F">
      <w:pPr>
        <w:shd w:val="clear" w:color="auto" w:fill="FFFFFF"/>
        <w:tabs>
          <w:tab w:val="left" w:pos="851"/>
        </w:tabs>
        <w:ind w:firstLine="567"/>
        <w:jc w:val="both"/>
        <w:rPr>
          <w:sz w:val="26"/>
          <w:szCs w:val="26"/>
        </w:rPr>
      </w:pPr>
      <w:r>
        <w:rPr>
          <w:sz w:val="26"/>
          <w:szCs w:val="26"/>
        </w:rPr>
        <w:t>2</w:t>
      </w:r>
      <w:r w:rsidRPr="00092769">
        <w:rPr>
          <w:sz w:val="26"/>
          <w:szCs w:val="26"/>
        </w:rPr>
        <w:t>. Настоящее решение вступает в силу со дня его официального опубликования</w:t>
      </w:r>
      <w:r>
        <w:rPr>
          <w:sz w:val="26"/>
          <w:szCs w:val="26"/>
        </w:rPr>
        <w:t xml:space="preserve"> в районной газете «Заря Севера</w:t>
      </w:r>
      <w:r w:rsidRPr="00D7770C">
        <w:rPr>
          <w:sz w:val="26"/>
          <w:szCs w:val="26"/>
        </w:rPr>
        <w:t>»</w:t>
      </w:r>
      <w:r>
        <w:rPr>
          <w:sz w:val="26"/>
          <w:szCs w:val="26"/>
        </w:rPr>
        <w:t xml:space="preserve"> </w:t>
      </w:r>
      <w:r w:rsidRPr="00D7770C">
        <w:rPr>
          <w:sz w:val="26"/>
          <w:szCs w:val="26"/>
        </w:rPr>
        <w:t>и</w:t>
      </w:r>
      <w:r w:rsidRPr="00092769">
        <w:rPr>
          <w:sz w:val="26"/>
          <w:szCs w:val="26"/>
        </w:rPr>
        <w:t xml:space="preserve"> подлежит размещению на официальном сайте Кичм</w:t>
      </w:r>
      <w:r>
        <w:rPr>
          <w:sz w:val="26"/>
          <w:szCs w:val="26"/>
        </w:rPr>
        <w:t>енгско</w:t>
      </w:r>
      <w:r w:rsidRPr="00092769">
        <w:rPr>
          <w:sz w:val="26"/>
          <w:szCs w:val="26"/>
        </w:rPr>
        <w:t>-Городецкого муниципального района в информационно-телекоммуникационной сети «Интернет».</w:t>
      </w:r>
    </w:p>
    <w:p w:rsidR="002E7778" w:rsidRDefault="002E7778" w:rsidP="002E7778">
      <w:pPr>
        <w:ind w:firstLine="708"/>
        <w:jc w:val="both"/>
        <w:rPr>
          <w:sz w:val="28"/>
          <w:szCs w:val="28"/>
        </w:rPr>
      </w:pPr>
    </w:p>
    <w:p w:rsidR="00EA116F" w:rsidRDefault="00EA116F" w:rsidP="002E7778">
      <w:pPr>
        <w:ind w:firstLine="708"/>
        <w:jc w:val="both"/>
        <w:rPr>
          <w:sz w:val="28"/>
          <w:szCs w:val="28"/>
        </w:rPr>
      </w:pPr>
    </w:p>
    <w:p w:rsidR="00EA116F" w:rsidRPr="00962C98" w:rsidRDefault="00EA116F" w:rsidP="002E7778">
      <w:pPr>
        <w:ind w:firstLine="708"/>
        <w:jc w:val="both"/>
        <w:rPr>
          <w:sz w:val="28"/>
          <w:szCs w:val="28"/>
        </w:rPr>
      </w:pPr>
    </w:p>
    <w:p w:rsidR="002E7778" w:rsidRPr="00962C98" w:rsidRDefault="002E7778" w:rsidP="002E7778">
      <w:pPr>
        <w:jc w:val="both"/>
        <w:rPr>
          <w:sz w:val="28"/>
          <w:szCs w:val="28"/>
        </w:rPr>
      </w:pPr>
      <w:r w:rsidRPr="00962C98">
        <w:rPr>
          <w:sz w:val="28"/>
          <w:szCs w:val="28"/>
        </w:rPr>
        <w:t>Глава района                                                                                       Л.Н. Дьякова</w:t>
      </w:r>
    </w:p>
    <w:sectPr w:rsidR="002E7778" w:rsidRPr="00962C98"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71" w:rsidRDefault="00C43771" w:rsidP="006B1A05">
      <w:r>
        <w:separator/>
      </w:r>
    </w:p>
  </w:endnote>
  <w:endnote w:type="continuationSeparator" w:id="0">
    <w:p w:rsidR="00C43771" w:rsidRDefault="00C4377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71" w:rsidRDefault="00C43771" w:rsidP="006B1A05">
      <w:r>
        <w:separator/>
      </w:r>
    </w:p>
  </w:footnote>
  <w:footnote w:type="continuationSeparator" w:id="0">
    <w:p w:rsidR="00C43771" w:rsidRDefault="00C4377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FF6F34">
        <w:pPr>
          <w:pStyle w:val="a8"/>
          <w:jc w:val="center"/>
        </w:pPr>
        <w:fldSimple w:instr=" PAGE   \* MERGEFORMAT ">
          <w:r w:rsidR="00EA116F">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1">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4">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0">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2">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4">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1"/>
  </w:num>
  <w:num w:numId="3">
    <w:abstractNumId w:val="1"/>
  </w:num>
  <w:num w:numId="4">
    <w:abstractNumId w:val="11"/>
  </w:num>
  <w:num w:numId="5">
    <w:abstractNumId w:val="15"/>
  </w:num>
  <w:num w:numId="6">
    <w:abstractNumId w:val="8"/>
  </w:num>
  <w:num w:numId="7">
    <w:abstractNumId w:val="23"/>
  </w:num>
  <w:num w:numId="8">
    <w:abstractNumId w:val="12"/>
  </w:num>
  <w:num w:numId="9">
    <w:abstractNumId w:val="14"/>
  </w:num>
  <w:num w:numId="10">
    <w:abstractNumId w:val="25"/>
  </w:num>
  <w:num w:numId="11">
    <w:abstractNumId w:val="18"/>
  </w:num>
  <w:num w:numId="12">
    <w:abstractNumId w:val="2"/>
  </w:num>
  <w:num w:numId="13">
    <w:abstractNumId w:val="10"/>
  </w:num>
  <w:num w:numId="14">
    <w:abstractNumId w:val="21"/>
  </w:num>
  <w:num w:numId="15">
    <w:abstractNumId w:val="30"/>
  </w:num>
  <w:num w:numId="16">
    <w:abstractNumId w:val="3"/>
  </w:num>
  <w:num w:numId="17">
    <w:abstractNumId w:val="36"/>
  </w:num>
  <w:num w:numId="18">
    <w:abstractNumId w:val="9"/>
  </w:num>
  <w:num w:numId="19">
    <w:abstractNumId w:val="0"/>
  </w:num>
  <w:num w:numId="20">
    <w:abstractNumId w:val="35"/>
  </w:num>
  <w:num w:numId="21">
    <w:abstractNumId w:val="13"/>
  </w:num>
  <w:num w:numId="22">
    <w:abstractNumId w:val="6"/>
  </w:num>
  <w:num w:numId="23">
    <w:abstractNumId w:val="4"/>
  </w:num>
  <w:num w:numId="24">
    <w:abstractNumId w:val="7"/>
  </w:num>
  <w:num w:numId="25">
    <w:abstractNumId w:val="22"/>
  </w:num>
  <w:num w:numId="26">
    <w:abstractNumId w:val="17"/>
  </w:num>
  <w:num w:numId="27">
    <w:abstractNumId w:val="27"/>
  </w:num>
  <w:num w:numId="28">
    <w:abstractNumId w:val="28"/>
  </w:num>
  <w:num w:numId="29">
    <w:abstractNumId w:val="24"/>
  </w:num>
  <w:num w:numId="30">
    <w:abstractNumId w:val="5"/>
  </w:num>
  <w:num w:numId="31">
    <w:abstractNumId w:val="16"/>
  </w:num>
  <w:num w:numId="32">
    <w:abstractNumId w:val="34"/>
  </w:num>
  <w:num w:numId="33">
    <w:abstractNumId w:val="29"/>
  </w:num>
  <w:num w:numId="34">
    <w:abstractNumId w:val="32"/>
  </w:num>
  <w:num w:numId="35">
    <w:abstractNumId w:val="19"/>
  </w:num>
  <w:num w:numId="36">
    <w:abstractNumId w:val="26"/>
  </w:num>
  <w:num w:numId="3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8DD2-6DA8-482C-81A1-01A54178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2017-03-30T13:30:00Z</cp:lastPrinted>
  <dcterms:created xsi:type="dcterms:W3CDTF">2017-03-31T10:07:00Z</dcterms:created>
  <dcterms:modified xsi:type="dcterms:W3CDTF">2017-03-31T10:15:00Z</dcterms:modified>
</cp:coreProperties>
</file>