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A2" w:rsidRDefault="00AA6FA2" w:rsidP="00AA6F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FA2">
        <w:rPr>
          <w:rFonts w:ascii="Times New Roman" w:hAnsi="Times New Roman" w:cs="Times New Roman"/>
          <w:b/>
        </w:rPr>
        <w:t xml:space="preserve">ЦЕНТР ГАРАНТИЙНОГО ОБЕСПЕЧЕНИЯ </w:t>
      </w:r>
    </w:p>
    <w:p w:rsidR="002F2C99" w:rsidRPr="002F2C99" w:rsidRDefault="00AA6FA2" w:rsidP="00AA6F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FA2">
        <w:rPr>
          <w:rFonts w:ascii="Times New Roman" w:hAnsi="Times New Roman" w:cs="Times New Roman"/>
          <w:b/>
        </w:rPr>
        <w:t>МАЛОГО И СРЕДНЕГО ПРЕДПРИНИМАТЕЛЬСТВА</w:t>
      </w:r>
    </w:p>
    <w:p w:rsidR="002F2C99" w:rsidRDefault="002F2C99" w:rsidP="002F2C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6FA2" w:rsidTr="00043F71">
        <w:tc>
          <w:tcPr>
            <w:tcW w:w="4672" w:type="dxa"/>
          </w:tcPr>
          <w:p w:rsidR="00AA6FA2" w:rsidRDefault="00AA6FA2" w:rsidP="002F2C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C9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6CF637B1" wp14:editId="3CC38147">
                  <wp:extent cx="2162175" cy="1203272"/>
                  <wp:effectExtent l="0" t="0" r="0" b="0"/>
                  <wp:docPr id="11" name="Рисунок 11" descr="http://www.agr-city.ru/userfiles/images/garant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gr-city.ru/userfiles/images/garant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072" cy="1229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AA6FA2" w:rsidRPr="002F2C99" w:rsidRDefault="00AA6FA2" w:rsidP="00AA6FA2">
            <w:pPr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АНО</w:t>
            </w:r>
            <w:r w:rsidRPr="002F2C9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Центр гарантийного обеспечения МСП реализует государственную программу «Гарантийный Фонд» на территории Вологодской области.</w:t>
            </w:r>
          </w:p>
          <w:p w:rsidR="00AA6FA2" w:rsidRDefault="007A1E8A" w:rsidP="002F2C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Учредители Центра: Департамент экономического развития Вологодской области и НП «Агентство Городского Развития».</w:t>
            </w:r>
          </w:p>
        </w:tc>
      </w:tr>
    </w:tbl>
    <w:p w:rsidR="007A1E8A" w:rsidRPr="002F2C99" w:rsidRDefault="007A1E8A" w:rsidP="007A1E8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C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Дата государственной регистрации организации</w:t>
      </w:r>
      <w:r w:rsidRPr="002F2C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в МИ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ФНС № 11 по Вологодской области</w:t>
      </w:r>
      <w:r w:rsidRPr="002F2C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в Управлении Минюста РФ по Вологодской области -</w:t>
      </w:r>
      <w:r w:rsidRPr="002F2C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16.05.2016 г.</w:t>
      </w:r>
    </w:p>
    <w:p w:rsidR="007A1E8A" w:rsidRPr="002F2C99" w:rsidRDefault="007A1E8A" w:rsidP="007A1E8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C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Организация создана в соответствии с постановлением Правительства Вологодской области</w:t>
      </w:r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> «О создании автономной некоммерческой организации «Центр гарантийного обеспечения малого и среднего предпринимательства» от 09.12.2015 г. № 1057 (с изменением).</w:t>
      </w:r>
    </w:p>
    <w:p w:rsidR="00E378FA" w:rsidRDefault="00E378FA" w:rsidP="002F2C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2F2C99" w:rsidRPr="002F2C99" w:rsidRDefault="002F2C99" w:rsidP="002F2C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C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Продуктовая линейка Центра</w:t>
      </w:r>
      <w:r w:rsidRPr="002F2C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</w:t>
      </w:r>
    </w:p>
    <w:p w:rsidR="002F2C99" w:rsidRDefault="002F2C99" w:rsidP="00E378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>- поручительство по банковским гарантиям;</w:t>
      </w:r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br/>
        <w:t>- поручи</w:t>
      </w:r>
      <w:r w:rsidR="006A7BDF">
        <w:rPr>
          <w:rFonts w:ascii="Times New Roman" w:eastAsia="Times New Roman" w:hAnsi="Times New Roman" w:cs="Times New Roman"/>
          <w:color w:val="000000"/>
          <w:lang w:eastAsia="ru-RU"/>
        </w:rPr>
        <w:t>тельство по кредитным договорам.</w:t>
      </w:r>
    </w:p>
    <w:p w:rsidR="00E378FA" w:rsidRDefault="00E378FA" w:rsidP="007A1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2F2C99" w:rsidRPr="002F2C99" w:rsidRDefault="002F2C99" w:rsidP="002F2C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C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УСЛОВИЯ ПРЕДОСТАВЛЕНИЯ ПОРУЧИТЕЛЬСТВ ЦЕНТРА </w:t>
      </w:r>
    </w:p>
    <w:tbl>
      <w:tblPr>
        <w:tblW w:w="0" w:type="auto"/>
        <w:tblCellSpacing w:w="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7226"/>
      </w:tblGrid>
      <w:tr w:rsidR="002F2C99" w:rsidRPr="002F2C99" w:rsidTr="00043F71">
        <w:trPr>
          <w:tblCellSpacing w:w="0" w:type="dxa"/>
        </w:trPr>
        <w:tc>
          <w:tcPr>
            <w:tcW w:w="216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F2C99" w:rsidRPr="002F2C99" w:rsidRDefault="002F2C99" w:rsidP="002F2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9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Параметры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F2C99" w:rsidRPr="002F2C99" w:rsidRDefault="002F2C99" w:rsidP="002F2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9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Поручительство по кредитам</w:t>
            </w:r>
          </w:p>
        </w:tc>
      </w:tr>
      <w:tr w:rsidR="002F2C99" w:rsidRPr="002F2C99" w:rsidTr="00043F71">
        <w:trPr>
          <w:tblCellSpacing w:w="0" w:type="dxa"/>
        </w:trPr>
        <w:tc>
          <w:tcPr>
            <w:tcW w:w="216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F2C99" w:rsidRPr="002F2C99" w:rsidRDefault="002F2C99" w:rsidP="002F2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9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Условия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F2C99" w:rsidRPr="002F2C99" w:rsidRDefault="002F2C99" w:rsidP="002F2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99">
              <w:rPr>
                <w:rFonts w:ascii="Times New Roman" w:eastAsia="Times New Roman" w:hAnsi="Times New Roman" w:cs="Times New Roman"/>
                <w:lang w:eastAsia="ru-RU"/>
              </w:rPr>
              <w:t>· Величина поручительства не может превышать 70% от суммы заемных средств. </w:t>
            </w:r>
          </w:p>
          <w:p w:rsidR="002F2C99" w:rsidRPr="002F2C99" w:rsidRDefault="002F2C99" w:rsidP="002F2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99">
              <w:rPr>
                <w:rFonts w:ascii="Times New Roman" w:eastAsia="Times New Roman" w:hAnsi="Times New Roman" w:cs="Times New Roman"/>
                <w:lang w:eastAsia="ru-RU"/>
              </w:rPr>
              <w:t xml:space="preserve">· Максимальный размер </w:t>
            </w:r>
            <w:bookmarkStart w:id="0" w:name="_GoBack"/>
            <w:bookmarkEnd w:id="0"/>
            <w:r w:rsidRPr="002F2C99">
              <w:rPr>
                <w:rFonts w:ascii="Times New Roman" w:eastAsia="Times New Roman" w:hAnsi="Times New Roman" w:cs="Times New Roman"/>
                <w:lang w:eastAsia="ru-RU"/>
              </w:rPr>
              <w:t>поручительства - 25 млн. руб.</w:t>
            </w:r>
          </w:p>
          <w:p w:rsidR="002F2C99" w:rsidRPr="002F2C99" w:rsidRDefault="002F2C99" w:rsidP="002F2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99">
              <w:rPr>
                <w:rFonts w:ascii="Times New Roman" w:eastAsia="Times New Roman" w:hAnsi="Times New Roman" w:cs="Times New Roman"/>
                <w:lang w:eastAsia="ru-RU"/>
              </w:rPr>
              <w:t>· Кредитный договор должен быть заключен на срок до 5 лет</w:t>
            </w:r>
          </w:p>
          <w:p w:rsidR="002F2C99" w:rsidRPr="002F2C99" w:rsidRDefault="002F2C99" w:rsidP="002F2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99">
              <w:rPr>
                <w:rFonts w:ascii="Times New Roman" w:eastAsia="Times New Roman" w:hAnsi="Times New Roman" w:cs="Times New Roman"/>
                <w:lang w:eastAsia="ru-RU"/>
              </w:rPr>
              <w:t>*для кредитов на инвестиционные цели сроком до 10 лет. </w:t>
            </w:r>
          </w:p>
        </w:tc>
      </w:tr>
      <w:tr w:rsidR="002F2C99" w:rsidRPr="002F2C99" w:rsidTr="00043F71">
        <w:trPr>
          <w:tblCellSpacing w:w="0" w:type="dxa"/>
        </w:trPr>
        <w:tc>
          <w:tcPr>
            <w:tcW w:w="216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F2C99" w:rsidRPr="002F2C99" w:rsidRDefault="002F2C99" w:rsidP="002F2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9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Партнеры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F2C99" w:rsidRPr="002F2C99" w:rsidRDefault="002F2C99" w:rsidP="002F2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9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Банки-партнеры:</w:t>
            </w:r>
          </w:p>
          <w:p w:rsidR="002F2C99" w:rsidRPr="002F2C99" w:rsidRDefault="002F2C99" w:rsidP="002F2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99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  <w:hyperlink r:id="rId6" w:history="1">
              <w:r w:rsidRPr="002F2C99">
                <w:rPr>
                  <w:rFonts w:ascii="Times New Roman" w:eastAsia="Times New Roman" w:hAnsi="Times New Roman" w:cs="Times New Roman"/>
                  <w:color w:val="177FD4"/>
                  <w:u w:val="single"/>
                  <w:bdr w:val="none" w:sz="0" w:space="0" w:color="auto" w:frame="1"/>
                  <w:lang w:eastAsia="ru-RU"/>
                </w:rPr>
                <w:t>ПАО «Сбербанк России»</w:t>
              </w:r>
            </w:hyperlink>
          </w:p>
          <w:p w:rsidR="002F2C99" w:rsidRPr="002F2C99" w:rsidRDefault="002F2C99" w:rsidP="002F2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99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  <w:hyperlink r:id="rId7" w:history="1">
              <w:r w:rsidRPr="002F2C99">
                <w:rPr>
                  <w:rFonts w:ascii="Times New Roman" w:eastAsia="Times New Roman" w:hAnsi="Times New Roman" w:cs="Times New Roman"/>
                  <w:color w:val="177FD4"/>
                  <w:u w:val="single"/>
                  <w:bdr w:val="none" w:sz="0" w:space="0" w:color="auto" w:frame="1"/>
                  <w:lang w:eastAsia="ru-RU"/>
                </w:rPr>
                <w:t>ПАО «Промсвязьбанк»</w:t>
              </w:r>
            </w:hyperlink>
          </w:p>
          <w:p w:rsidR="002F2C99" w:rsidRPr="002F2C99" w:rsidRDefault="002F2C99" w:rsidP="002F2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99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  <w:hyperlink r:id="rId8" w:history="1">
              <w:r w:rsidRPr="002F2C99">
                <w:rPr>
                  <w:rFonts w:ascii="Times New Roman" w:eastAsia="Times New Roman" w:hAnsi="Times New Roman" w:cs="Times New Roman"/>
                  <w:color w:val="177FD4"/>
                  <w:u w:val="single"/>
                  <w:bdr w:val="none" w:sz="0" w:space="0" w:color="auto" w:frame="1"/>
                  <w:lang w:eastAsia="ru-RU"/>
                </w:rPr>
                <w:t>ПАО «</w:t>
              </w:r>
              <w:proofErr w:type="spellStart"/>
              <w:r w:rsidRPr="002F2C99">
                <w:rPr>
                  <w:rFonts w:ascii="Times New Roman" w:eastAsia="Times New Roman" w:hAnsi="Times New Roman" w:cs="Times New Roman"/>
                  <w:color w:val="177FD4"/>
                  <w:u w:val="single"/>
                  <w:bdr w:val="none" w:sz="0" w:space="0" w:color="auto" w:frame="1"/>
                  <w:lang w:eastAsia="ru-RU"/>
                </w:rPr>
                <w:t>Банкт</w:t>
              </w:r>
              <w:proofErr w:type="spellEnd"/>
              <w:r w:rsidRPr="002F2C99">
                <w:rPr>
                  <w:rFonts w:ascii="Times New Roman" w:eastAsia="Times New Roman" w:hAnsi="Times New Roman" w:cs="Times New Roman"/>
                  <w:color w:val="177FD4"/>
                  <w:u w:val="single"/>
                  <w:bdr w:val="none" w:sz="0" w:space="0" w:color="auto" w:frame="1"/>
                  <w:lang w:eastAsia="ru-RU"/>
                </w:rPr>
                <w:t xml:space="preserve"> СГБ»</w:t>
              </w:r>
            </w:hyperlink>
          </w:p>
          <w:p w:rsidR="002F2C99" w:rsidRPr="002F2C99" w:rsidRDefault="00043F71" w:rsidP="002F2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4. </w:t>
            </w:r>
            <w:r w:rsidRPr="00043F71">
              <w:rPr>
                <w:rFonts w:ascii="Times New Roman" w:eastAsia="Times New Roman" w:hAnsi="Times New Roman" w:cs="Times New Roman"/>
                <w:color w:val="2E74B5" w:themeColor="accent5" w:themeShade="BF"/>
                <w:lang w:eastAsia="ru-RU"/>
              </w:rPr>
              <w:t>АО «</w:t>
            </w:r>
            <w:proofErr w:type="spellStart"/>
            <w:r w:rsidRPr="00043F71">
              <w:rPr>
                <w:rFonts w:ascii="Times New Roman" w:eastAsia="Times New Roman" w:hAnsi="Times New Roman" w:cs="Times New Roman"/>
                <w:color w:val="2E74B5" w:themeColor="accent5" w:themeShade="BF"/>
                <w:lang w:eastAsia="ru-RU"/>
              </w:rPr>
              <w:t>Россельхозбанк</w:t>
            </w:r>
            <w:proofErr w:type="spellEnd"/>
            <w:r w:rsidRPr="00043F71">
              <w:rPr>
                <w:rFonts w:ascii="Times New Roman" w:eastAsia="Times New Roman" w:hAnsi="Times New Roman" w:cs="Times New Roman"/>
                <w:color w:val="2E74B5" w:themeColor="accent5" w:themeShade="BF"/>
                <w:lang w:eastAsia="ru-RU"/>
              </w:rPr>
              <w:t>»</w:t>
            </w:r>
          </w:p>
        </w:tc>
      </w:tr>
      <w:tr w:rsidR="002F2C99" w:rsidRPr="002F2C99" w:rsidTr="00043F71">
        <w:trPr>
          <w:tblCellSpacing w:w="0" w:type="dxa"/>
        </w:trPr>
        <w:tc>
          <w:tcPr>
            <w:tcW w:w="216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F2C99" w:rsidRPr="002F2C99" w:rsidRDefault="002F2C99" w:rsidP="002F2C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9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 предоставляется поручительство на следующие цели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F2C99" w:rsidRPr="002F2C99" w:rsidRDefault="002F2C99" w:rsidP="002F2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9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Исполнение обязательств по уплате:</w:t>
            </w:r>
          </w:p>
          <w:p w:rsidR="002F2C99" w:rsidRPr="00E378FA" w:rsidRDefault="002F2C99" w:rsidP="00E378F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FA">
              <w:rPr>
                <w:rFonts w:ascii="Times New Roman" w:eastAsia="Times New Roman" w:hAnsi="Times New Roman" w:cs="Times New Roman"/>
                <w:lang w:eastAsia="ru-RU"/>
              </w:rPr>
              <w:t>процентов за пользование кредитом;</w:t>
            </w:r>
          </w:p>
          <w:p w:rsidR="002F2C99" w:rsidRPr="00E378FA" w:rsidRDefault="002F2C99" w:rsidP="00E378F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FA">
              <w:rPr>
                <w:rFonts w:ascii="Times New Roman" w:eastAsia="Times New Roman" w:hAnsi="Times New Roman" w:cs="Times New Roman"/>
                <w:lang w:eastAsia="ru-RU"/>
              </w:rPr>
              <w:t>процентов за пользование чужими денежными средствами (ст. 395 ГК РФ);</w:t>
            </w:r>
          </w:p>
          <w:p w:rsidR="002F2C99" w:rsidRPr="00E378FA" w:rsidRDefault="002F2C99" w:rsidP="00E378F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FA">
              <w:rPr>
                <w:rFonts w:ascii="Times New Roman" w:eastAsia="Times New Roman" w:hAnsi="Times New Roman" w:cs="Times New Roman"/>
                <w:lang w:eastAsia="ru-RU"/>
              </w:rPr>
              <w:t>неустойки (штрафа, пени) по основному долгу;</w:t>
            </w:r>
          </w:p>
          <w:p w:rsidR="002F2C99" w:rsidRPr="00E378FA" w:rsidRDefault="002F2C99" w:rsidP="00E378F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FA">
              <w:rPr>
                <w:rFonts w:ascii="Times New Roman" w:eastAsia="Times New Roman" w:hAnsi="Times New Roman" w:cs="Times New Roman"/>
                <w:lang w:eastAsia="ru-RU"/>
              </w:rPr>
              <w:t>неустойки (штрафа, пени) по процентам, комиссиям;</w:t>
            </w:r>
          </w:p>
          <w:p w:rsidR="002F2C99" w:rsidRPr="00E378FA" w:rsidRDefault="002F2C99" w:rsidP="00E378F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FA">
              <w:rPr>
                <w:rFonts w:ascii="Times New Roman" w:eastAsia="Times New Roman" w:hAnsi="Times New Roman" w:cs="Times New Roman"/>
                <w:lang w:eastAsia="ru-RU"/>
              </w:rPr>
              <w:t>расходов, понесенных в связи с исполнением Заемщиком своих обязательств перед Банком;</w:t>
            </w:r>
          </w:p>
          <w:p w:rsidR="002F2C99" w:rsidRPr="00E378FA" w:rsidRDefault="002F2C99" w:rsidP="00E378F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FA">
              <w:rPr>
                <w:rFonts w:ascii="Times New Roman" w:eastAsia="Times New Roman" w:hAnsi="Times New Roman" w:cs="Times New Roman"/>
                <w:lang w:eastAsia="ru-RU"/>
              </w:rPr>
              <w:t>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Банком;</w:t>
            </w:r>
          </w:p>
          <w:p w:rsidR="002F2C99" w:rsidRPr="002F2C99" w:rsidRDefault="002F2C99" w:rsidP="002F2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9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Поручительства не предоставляются если: </w:t>
            </w:r>
          </w:p>
          <w:p w:rsidR="002F2C99" w:rsidRPr="00E378FA" w:rsidRDefault="002F2C99" w:rsidP="00E378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субъекты МСП 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      </w:r>
          </w:p>
          <w:p w:rsidR="002F2C99" w:rsidRPr="00E378FA" w:rsidRDefault="002F2C99" w:rsidP="00E378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субъекты МСП являются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ломбардами.</w:t>
            </w:r>
          </w:p>
          <w:p w:rsidR="002F2C99" w:rsidRPr="00E378FA" w:rsidRDefault="002F2C99" w:rsidP="00E378FA">
            <w:pPr>
              <w:pStyle w:val="a5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FA">
              <w:rPr>
                <w:rFonts w:ascii="Times New Roman" w:eastAsia="Times New Roman" w:hAnsi="Times New Roman" w:cs="Times New Roman"/>
                <w:lang w:eastAsia="ru-RU"/>
              </w:rPr>
              <w:t>субъекты МСП являются участниками соглашений о разделе продукции.</w:t>
            </w:r>
          </w:p>
          <w:p w:rsidR="002F2C99" w:rsidRPr="00E378FA" w:rsidRDefault="002F2C99" w:rsidP="00E378FA">
            <w:pPr>
              <w:pStyle w:val="a5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субъекты МСП осуществляют предпринимательскую деятельность в сфере игорного бизнеса.</w:t>
            </w:r>
          </w:p>
        </w:tc>
      </w:tr>
    </w:tbl>
    <w:p w:rsidR="007A1E8A" w:rsidRDefault="007A1E8A" w:rsidP="007A1E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7A1E8A" w:rsidRPr="002F2C99" w:rsidRDefault="007A1E8A" w:rsidP="007A1E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ПОРЯДОК УЧАСТИЯ В ПРОГРАММЕ «ГАРАНТИЙНЫЙ ФОНД»</w:t>
      </w:r>
    </w:p>
    <w:p w:rsidR="007A1E8A" w:rsidRPr="002F2C99" w:rsidRDefault="007A1E8A" w:rsidP="007A1E8A">
      <w:pPr>
        <w:numPr>
          <w:ilvl w:val="0"/>
          <w:numId w:val="2"/>
        </w:numPr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>Выбрать банк (смотри ниже список банков- партнеров)</w:t>
      </w:r>
    </w:p>
    <w:p w:rsidR="007A1E8A" w:rsidRPr="002F2C99" w:rsidRDefault="007A1E8A" w:rsidP="007A1E8A">
      <w:pPr>
        <w:numPr>
          <w:ilvl w:val="0"/>
          <w:numId w:val="2"/>
        </w:numPr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>Подать заявку в банк и получить ответ о возможности получения кредита</w:t>
      </w:r>
    </w:p>
    <w:p w:rsidR="007A1E8A" w:rsidRPr="002F2C99" w:rsidRDefault="007A1E8A" w:rsidP="007A1E8A">
      <w:pPr>
        <w:numPr>
          <w:ilvl w:val="0"/>
          <w:numId w:val="2"/>
        </w:numPr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 xml:space="preserve">Банк-партнер информирует </w:t>
      </w:r>
      <w:proofErr w:type="spellStart"/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>Заемщикао</w:t>
      </w:r>
      <w:proofErr w:type="spellEnd"/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возможности привлечения поручительства Гарантийного Фонда</w:t>
      </w:r>
    </w:p>
    <w:p w:rsidR="007A1E8A" w:rsidRPr="002F2C99" w:rsidRDefault="007A1E8A" w:rsidP="007A1E8A">
      <w:pPr>
        <w:numPr>
          <w:ilvl w:val="0"/>
          <w:numId w:val="2"/>
        </w:numPr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>Банк-партнер в срок не позднее 2 (двух) рабочих дней со дня изъявления согласия Заемщика получить поручительство направляет в Фонд подписанную Заемщиком заявку и пакет документов</w:t>
      </w:r>
    </w:p>
    <w:p w:rsidR="007A1E8A" w:rsidRPr="002F2C99" w:rsidRDefault="007A1E8A" w:rsidP="007A1E8A">
      <w:pPr>
        <w:numPr>
          <w:ilvl w:val="0"/>
          <w:numId w:val="2"/>
        </w:numPr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 xml:space="preserve">Фонд в срок не позднее 3 (трех) рабочих дней со дня получения </w:t>
      </w:r>
      <w:proofErr w:type="gramStart"/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>заявки  на</w:t>
      </w:r>
      <w:proofErr w:type="gramEnd"/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получение поручительства и необходимого пакета документов рассматривает полученные документы и принимает решение</w:t>
      </w:r>
    </w:p>
    <w:p w:rsidR="007A1E8A" w:rsidRPr="002F2C99" w:rsidRDefault="007A1E8A" w:rsidP="007A1E8A">
      <w:pPr>
        <w:numPr>
          <w:ilvl w:val="0"/>
          <w:numId w:val="2"/>
        </w:numPr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>Если решение Фонда по данному Заемщику положительное, то заключается договор поручительства, Заемщик уплачивает Фонду вознаграждение за предоставление поручительств</w:t>
      </w:r>
    </w:p>
    <w:p w:rsidR="002F2C99" w:rsidRDefault="002F2C99" w:rsidP="002F2C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2F2C99" w:rsidRDefault="002F2C99" w:rsidP="002F2C9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С начала действия программы</w:t>
      </w:r>
      <w:r w:rsidRPr="002F2C9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поддержкой Гарантийного Фонда воспользовались более 200 предпринимателей. За семь лет своего существования «Гаранти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йный фонд Вологодской области» </w:t>
      </w:r>
      <w:r w:rsidRPr="002F2C9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выдал обратившимся за помощью бизнесм</w:t>
      </w:r>
      <w:r w:rsidR="00043F7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енам гарантийные поручительства</w:t>
      </w:r>
      <w:r w:rsidRPr="002F2C9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на общую сумму более 630 млн руб.  При поддержке Фонда предприятиям Вологодчины удалось сохранить более 3 тысяч рабочих мест и создать около 900 новых.  Налоговые отчисления этих предприятий в бюджет превысили 2 миллиарда рублей.  Благодаря поручительству Фонда предприниматели получили банковские к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редиты на сумму более миллиарда</w:t>
      </w:r>
      <w:r w:rsidRPr="002F2C9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рублей, смогли расширить свой бизнес, приобрести новое оборудование, недвижимость, запустить новую линейку продукции.</w:t>
      </w:r>
    </w:p>
    <w:p w:rsidR="002F2C99" w:rsidRPr="002F2C99" w:rsidRDefault="002F2C99" w:rsidP="002F2C9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2F2C99" w:rsidRPr="002F2C99" w:rsidRDefault="002F2C99" w:rsidP="002F2C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C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ПРЕИМУЩЕСТВА РАБОТЫ С ЦЕНТРОМ ГАРАНТИЙНОГО ОБЕСПЕЧЕНИЯ МСП </w:t>
      </w:r>
    </w:p>
    <w:p w:rsidR="002F2C99" w:rsidRPr="002F2C99" w:rsidRDefault="002F2C99" w:rsidP="002F2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>Ø  Поручительства</w:t>
      </w:r>
      <w:proofErr w:type="gramEnd"/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Центра принимается его партнерами в качестве обеспечения без дисконта, то есть 1:1.</w:t>
      </w:r>
    </w:p>
    <w:p w:rsidR="002F2C99" w:rsidRPr="002F2C99" w:rsidRDefault="002F2C99" w:rsidP="002F2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>Ø  Поручительство</w:t>
      </w:r>
      <w:proofErr w:type="gramEnd"/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Центра не нужно страховать. Экономия денежных средств за счет отсутствия страховых платежей.</w:t>
      </w:r>
    </w:p>
    <w:p w:rsidR="002F2C99" w:rsidRPr="002F2C99" w:rsidRDefault="002F2C99" w:rsidP="002F2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>Ø  Возможность</w:t>
      </w:r>
      <w:proofErr w:type="gramEnd"/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получения поручительства предпринимателями любого района Вологодской области, где находятся банки-партнеры Центра.</w:t>
      </w:r>
    </w:p>
    <w:p w:rsidR="002F2C99" w:rsidRPr="002F2C99" w:rsidRDefault="002F2C99" w:rsidP="002F2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>Ø  Срок</w:t>
      </w:r>
      <w:proofErr w:type="gramEnd"/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принятия решения о предоставлении поручительства Центра – не превышает 3-х рабочих дней (с момента предоставления полного пакета документов).</w:t>
      </w:r>
    </w:p>
    <w:p w:rsidR="002F2C99" w:rsidRPr="002F2C99" w:rsidRDefault="002F2C99" w:rsidP="002F2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>Ø  Возможность</w:t>
      </w:r>
      <w:proofErr w:type="gramEnd"/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получения кредита (банковской гарантии) при недостатке собственного  залогового обеспечения. </w:t>
      </w:r>
    </w:p>
    <w:p w:rsidR="002F2C99" w:rsidRDefault="002F2C99" w:rsidP="002F2C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2F2C99" w:rsidRPr="002F2C99" w:rsidRDefault="002F2C99" w:rsidP="002F2C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C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ЦЕНТР ГАРАНТИЙНОГО ОБЕСПЕЧЕНИЯ И КОРПОРАЦИЯ МСП </w:t>
      </w:r>
    </w:p>
    <w:p w:rsidR="002F2C99" w:rsidRPr="002F2C99" w:rsidRDefault="002F2C99" w:rsidP="002F2C9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F2C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Согарантия</w:t>
      </w:r>
      <w:proofErr w:type="spellEnd"/>
      <w:r w:rsidRPr="002F2C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>- совместный продукт Корпорации и РГО, в котором Корпорация предоставляет прямую гарантию в пользу банка в целях обеспечения исполнения обязательств субъекта МСП по Кредитному договору.</w:t>
      </w:r>
    </w:p>
    <w:p w:rsidR="002F2C99" w:rsidRPr="002F2C99" w:rsidRDefault="002F2C99" w:rsidP="002F2C9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>Обязательным условием выдачи гарантии Корпорации является наличие поручительства РГО в структуре обеспечения исполнения обязательств субъекта МСП по кредитному договору.</w:t>
      </w:r>
    </w:p>
    <w:p w:rsidR="002F2C99" w:rsidRDefault="002F2C99" w:rsidP="002F2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C99">
        <w:rPr>
          <w:rFonts w:ascii="Times New Roman" w:eastAsia="Times New Roman" w:hAnsi="Times New Roman" w:cs="Times New Roman"/>
          <w:color w:val="000000"/>
          <w:lang w:eastAsia="ru-RU"/>
        </w:rPr>
        <w:t>Гарантия Корпорации и поручительство РГО совместно обеспечивают исполнение обязательств заемщика в пределах до 70% от суммы кредитных требований банка к заемщику. </w:t>
      </w:r>
    </w:p>
    <w:p w:rsidR="002F2C99" w:rsidRDefault="002F2C99" w:rsidP="002F2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78FA" w:rsidRPr="002F2C99" w:rsidRDefault="00E378FA" w:rsidP="00E378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378FA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КОНТАКТЫ</w:t>
      </w:r>
    </w:p>
    <w:p w:rsidR="00E378FA" w:rsidRDefault="002F2C99" w:rsidP="00E378FA">
      <w:pPr>
        <w:spacing w:after="0" w:line="240" w:lineRule="auto"/>
        <w:rPr>
          <w:rFonts w:ascii="Times New Roman" w:hAnsi="Times New Roman" w:cs="Times New Roman"/>
        </w:rPr>
      </w:pPr>
      <w:r w:rsidRPr="00E378FA">
        <w:rPr>
          <w:rFonts w:ascii="Times New Roman" w:hAnsi="Times New Roman" w:cs="Times New Roman"/>
        </w:rPr>
        <w:t>Адрес организации:</w:t>
      </w:r>
      <w:r w:rsidRPr="002F2C99">
        <w:rPr>
          <w:rFonts w:ascii="Times New Roman" w:hAnsi="Times New Roman" w:cs="Times New Roman"/>
        </w:rPr>
        <w:t xml:space="preserve"> Россия, Вологодская область, город Череповец, бульвар Доменщиков, д. 32</w:t>
      </w:r>
      <w:r w:rsidR="00E378FA" w:rsidRPr="00E378FA">
        <w:rPr>
          <w:rFonts w:ascii="Times New Roman" w:hAnsi="Times New Roman" w:cs="Times New Roman"/>
        </w:rPr>
        <w:t xml:space="preserve"> </w:t>
      </w:r>
    </w:p>
    <w:p w:rsidR="00E378FA" w:rsidRDefault="00E378FA" w:rsidP="00E378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(8202) 20-19-29</w:t>
      </w:r>
    </w:p>
    <w:p w:rsidR="00E378FA" w:rsidRDefault="00E378FA" w:rsidP="00E378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адрес: </w:t>
      </w:r>
      <w:hyperlink r:id="rId9" w:history="1">
        <w:r w:rsidR="00043F71" w:rsidRPr="001910DE">
          <w:rPr>
            <w:rStyle w:val="a3"/>
            <w:rFonts w:ascii="Times New Roman" w:hAnsi="Times New Roman" w:cs="Times New Roman"/>
          </w:rPr>
          <w:t>vd@agr-city.ru</w:t>
        </w:r>
      </w:hyperlink>
      <w:r>
        <w:rPr>
          <w:rFonts w:ascii="Times New Roman" w:hAnsi="Times New Roman" w:cs="Times New Roman"/>
        </w:rPr>
        <w:t xml:space="preserve"> </w:t>
      </w:r>
    </w:p>
    <w:p w:rsidR="00E378FA" w:rsidRPr="002F2C99" w:rsidRDefault="00E378FA" w:rsidP="00E378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Сайт: </w:t>
      </w:r>
      <w:hyperlink r:id="rId10" w:history="1">
        <w:r w:rsidRPr="001910DE">
          <w:rPr>
            <w:rStyle w:val="a3"/>
            <w:rFonts w:ascii="Times New Roman" w:hAnsi="Times New Roman" w:cs="Times New Roman"/>
          </w:rPr>
          <w:t>www.agr-city.ru</w:t>
        </w:r>
      </w:hyperlink>
      <w:r>
        <w:rPr>
          <w:rFonts w:ascii="Times New Roman" w:hAnsi="Times New Roman" w:cs="Times New Roman"/>
        </w:rPr>
        <w:t xml:space="preserve"> </w:t>
      </w:r>
    </w:p>
    <w:sectPr w:rsidR="00E378FA" w:rsidRPr="002F2C99" w:rsidSect="00E378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7EFF"/>
    <w:multiLevelType w:val="multilevel"/>
    <w:tmpl w:val="C484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4A0069"/>
    <w:multiLevelType w:val="hybridMultilevel"/>
    <w:tmpl w:val="CFAA3892"/>
    <w:lvl w:ilvl="0" w:tplc="0419000D">
      <w:start w:val="1"/>
      <w:numFmt w:val="bullet"/>
      <w:lvlText w:val=""/>
      <w:lvlJc w:val="left"/>
      <w:pPr>
        <w:ind w:left="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559174BF"/>
    <w:multiLevelType w:val="multilevel"/>
    <w:tmpl w:val="4A3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9B2388"/>
    <w:multiLevelType w:val="hybridMultilevel"/>
    <w:tmpl w:val="9558D57A"/>
    <w:lvl w:ilvl="0" w:tplc="0419000D">
      <w:start w:val="1"/>
      <w:numFmt w:val="bullet"/>
      <w:lvlText w:val=""/>
      <w:lvlJc w:val="left"/>
      <w:pPr>
        <w:ind w:left="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5C7302CF"/>
    <w:multiLevelType w:val="multilevel"/>
    <w:tmpl w:val="FCA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D92D67"/>
    <w:multiLevelType w:val="multilevel"/>
    <w:tmpl w:val="E450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19"/>
    <w:rsid w:val="00043F71"/>
    <w:rsid w:val="002E6AB2"/>
    <w:rsid w:val="002F2C99"/>
    <w:rsid w:val="006A7BDF"/>
    <w:rsid w:val="007A1E8A"/>
    <w:rsid w:val="00816719"/>
    <w:rsid w:val="00A40AF3"/>
    <w:rsid w:val="00AA6FA2"/>
    <w:rsid w:val="00E378FA"/>
    <w:rsid w:val="00F2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9F5F"/>
  <w15:chartTrackingRefBased/>
  <w15:docId w15:val="{1812F337-A483-4096-B8B1-1D7EF99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8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8FA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E378FA"/>
    <w:pPr>
      <w:ind w:left="720"/>
      <w:contextualSpacing/>
    </w:pPr>
  </w:style>
  <w:style w:type="table" w:styleId="a6">
    <w:name w:val="Table Grid"/>
    <w:basedOn w:val="a1"/>
    <w:uiPriority w:val="39"/>
    <w:rsid w:val="00AA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gazban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ban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ru/pers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gr-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D@AGR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8</cp:revision>
  <cp:lastPrinted>2017-10-24T12:25:00Z</cp:lastPrinted>
  <dcterms:created xsi:type="dcterms:W3CDTF">2017-10-24T09:14:00Z</dcterms:created>
  <dcterms:modified xsi:type="dcterms:W3CDTF">2017-11-09T10:57:00Z</dcterms:modified>
</cp:coreProperties>
</file>