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5E794D">
        <w:trPr>
          <w:trHeight w:val="993"/>
        </w:trPr>
        <w:tc>
          <w:tcPr>
            <w:tcW w:w="3827" w:type="dxa"/>
          </w:tcPr>
          <w:p w:rsidR="00F83686" w:rsidRPr="00C11119" w:rsidRDefault="00F83686" w:rsidP="005E794D">
            <w:pPr>
              <w:ind w:left="567" w:firstLine="567"/>
              <w:rPr>
                <w:color w:val="000000" w:themeColor="text1"/>
                <w:szCs w:val="28"/>
              </w:rPr>
            </w:pPr>
          </w:p>
        </w:tc>
        <w:tc>
          <w:tcPr>
            <w:tcW w:w="1328" w:type="dxa"/>
          </w:tcPr>
          <w:p w:rsidR="00F83686" w:rsidRPr="00C11119" w:rsidRDefault="00F83686" w:rsidP="005E794D">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5E794D">
            <w:pPr>
              <w:rPr>
                <w:color w:val="000000" w:themeColor="text1"/>
                <w:szCs w:val="28"/>
              </w:rPr>
            </w:pPr>
          </w:p>
          <w:p w:rsidR="00F83686" w:rsidRPr="00C11119" w:rsidRDefault="00F83686" w:rsidP="005D5005">
            <w:pPr>
              <w:jc w:val="right"/>
              <w:rPr>
                <w:color w:val="000000" w:themeColor="text1"/>
                <w:szCs w:val="28"/>
              </w:rPr>
            </w:pP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rPr>
          <w:trHeight w:val="1035"/>
        </w:trPr>
        <w:tc>
          <w:tcPr>
            <w:tcW w:w="9321" w:type="dxa"/>
            <w:gridSpan w:val="3"/>
            <w:vAlign w:val="center"/>
          </w:tcPr>
          <w:p w:rsidR="00F83686" w:rsidRPr="00C11119" w:rsidRDefault="00F83686" w:rsidP="005E794D">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5E794D">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5E794D">
            <w:pPr>
              <w:pStyle w:val="a3"/>
              <w:rPr>
                <w:b w:val="0"/>
                <w:color w:val="000000" w:themeColor="text1"/>
              </w:rPr>
            </w:pPr>
            <w:r w:rsidRPr="00C11119">
              <w:rPr>
                <w:b w:val="0"/>
                <w:bCs w:val="0"/>
                <w:color w:val="000000" w:themeColor="text1"/>
              </w:rPr>
              <w:t>ВОЛОГОДСКОЙ ОБЛАСТИ</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c>
          <w:tcPr>
            <w:tcW w:w="9321" w:type="dxa"/>
            <w:gridSpan w:val="3"/>
          </w:tcPr>
          <w:p w:rsidR="00F83686" w:rsidRPr="00C11119" w:rsidRDefault="00F83686" w:rsidP="005E794D">
            <w:pPr>
              <w:jc w:val="center"/>
              <w:rPr>
                <w:b/>
                <w:color w:val="000000" w:themeColor="text1"/>
                <w:sz w:val="36"/>
                <w:szCs w:val="36"/>
              </w:rPr>
            </w:pPr>
            <w:r w:rsidRPr="00C11119">
              <w:rPr>
                <w:b/>
                <w:color w:val="000000" w:themeColor="text1"/>
                <w:sz w:val="36"/>
                <w:szCs w:val="36"/>
              </w:rPr>
              <w:t>РЕШЕНИЕ</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bl>
    <w:p w:rsidR="00F83686" w:rsidRPr="00C11119" w:rsidRDefault="00F83686" w:rsidP="00D15D9D">
      <w:pP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5E794D">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53D54" w:rsidRDefault="005D5005" w:rsidP="00BB6625">
            <w:pPr>
              <w:jc w:val="center"/>
              <w:rPr>
                <w:color w:val="000000" w:themeColor="text1"/>
                <w:szCs w:val="28"/>
              </w:rPr>
            </w:pPr>
            <w:r>
              <w:rPr>
                <w:color w:val="000000" w:themeColor="text1"/>
                <w:sz w:val="28"/>
                <w:szCs w:val="28"/>
              </w:rPr>
              <w:t>29</w:t>
            </w:r>
            <w:r w:rsidR="00F83686" w:rsidRPr="00C53D54">
              <w:rPr>
                <w:color w:val="000000" w:themeColor="text1"/>
                <w:sz w:val="28"/>
                <w:szCs w:val="28"/>
              </w:rPr>
              <w:t>.</w:t>
            </w:r>
            <w:r w:rsidR="00BB6625" w:rsidRPr="00C53D54">
              <w:rPr>
                <w:color w:val="000000" w:themeColor="text1"/>
                <w:sz w:val="28"/>
                <w:szCs w:val="28"/>
              </w:rPr>
              <w:t>01</w:t>
            </w:r>
            <w:r w:rsidR="00F83686" w:rsidRPr="00C53D54">
              <w:rPr>
                <w:color w:val="000000" w:themeColor="text1"/>
                <w:sz w:val="28"/>
                <w:szCs w:val="28"/>
              </w:rPr>
              <w:t>.20</w:t>
            </w:r>
            <w:r w:rsidR="00DA1DD1" w:rsidRPr="00C53D54">
              <w:rPr>
                <w:color w:val="000000" w:themeColor="text1"/>
                <w:sz w:val="28"/>
                <w:szCs w:val="28"/>
              </w:rPr>
              <w:t>2</w:t>
            </w:r>
            <w:r w:rsidR="00BB6625" w:rsidRPr="00C53D54">
              <w:rPr>
                <w:color w:val="000000" w:themeColor="text1"/>
                <w:sz w:val="28"/>
                <w:szCs w:val="28"/>
              </w:rPr>
              <w:t>1</w:t>
            </w:r>
          </w:p>
        </w:tc>
        <w:tc>
          <w:tcPr>
            <w:tcW w:w="236" w:type="dxa"/>
            <w:tcBorders>
              <w:top w:val="nil"/>
              <w:left w:val="nil"/>
              <w:bottom w:val="nil"/>
              <w:right w:val="nil"/>
            </w:tcBorders>
            <w:vAlign w:val="bottom"/>
          </w:tcPr>
          <w:p w:rsidR="00F83686" w:rsidRPr="00C53D54" w:rsidRDefault="00F83686" w:rsidP="005E794D">
            <w:pPr>
              <w:jc w:val="center"/>
              <w:rPr>
                <w:color w:val="000000" w:themeColor="text1"/>
                <w:szCs w:val="28"/>
              </w:rPr>
            </w:pPr>
          </w:p>
        </w:tc>
        <w:tc>
          <w:tcPr>
            <w:tcW w:w="484" w:type="dxa"/>
            <w:tcBorders>
              <w:top w:val="nil"/>
              <w:left w:val="nil"/>
              <w:bottom w:val="nil"/>
              <w:right w:val="nil"/>
            </w:tcBorders>
            <w:vAlign w:val="bottom"/>
          </w:tcPr>
          <w:p w:rsidR="00F83686" w:rsidRPr="00C53D54" w:rsidRDefault="00F83686" w:rsidP="005E794D">
            <w:pPr>
              <w:jc w:val="center"/>
              <w:rPr>
                <w:color w:val="000000" w:themeColor="text1"/>
                <w:szCs w:val="28"/>
              </w:rPr>
            </w:pPr>
            <w:r w:rsidRPr="00C53D54">
              <w:rPr>
                <w:color w:val="000000" w:themeColor="text1"/>
                <w:sz w:val="28"/>
                <w:szCs w:val="28"/>
              </w:rPr>
              <w:t>№</w:t>
            </w:r>
          </w:p>
        </w:tc>
        <w:tc>
          <w:tcPr>
            <w:tcW w:w="639" w:type="dxa"/>
            <w:tcBorders>
              <w:top w:val="nil"/>
              <w:left w:val="nil"/>
              <w:bottom w:val="single" w:sz="4" w:space="0" w:color="auto"/>
              <w:right w:val="nil"/>
            </w:tcBorders>
            <w:vAlign w:val="bottom"/>
          </w:tcPr>
          <w:p w:rsidR="00F83686" w:rsidRPr="00ED4FAA" w:rsidRDefault="005D5005" w:rsidP="00905D47">
            <w:pPr>
              <w:jc w:val="center"/>
              <w:rPr>
                <w:color w:val="000000" w:themeColor="text1"/>
                <w:szCs w:val="28"/>
              </w:rPr>
            </w:pPr>
            <w:r w:rsidRPr="00ED4FAA">
              <w:rPr>
                <w:color w:val="000000" w:themeColor="text1"/>
                <w:sz w:val="28"/>
                <w:szCs w:val="28"/>
              </w:rPr>
              <w:t>278</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6265A4" w:rsidRDefault="006265A4" w:rsidP="0061316F">
      <w:pPr>
        <w:widowControl w:val="0"/>
        <w:autoSpaceDE w:val="0"/>
        <w:autoSpaceDN w:val="0"/>
        <w:adjustRightInd w:val="0"/>
        <w:jc w:val="both"/>
        <w:rPr>
          <w:sz w:val="28"/>
          <w:szCs w:val="28"/>
        </w:rPr>
      </w:pPr>
    </w:p>
    <w:tbl>
      <w:tblPr>
        <w:tblStyle w:val="af3"/>
        <w:tblW w:w="0" w:type="auto"/>
        <w:tblLook w:val="04A0"/>
      </w:tblPr>
      <w:tblGrid>
        <w:gridCol w:w="3973"/>
      </w:tblGrid>
      <w:tr w:rsidR="00F03484" w:rsidTr="00B1085C">
        <w:trPr>
          <w:trHeight w:val="998"/>
        </w:trPr>
        <w:tc>
          <w:tcPr>
            <w:tcW w:w="3973" w:type="dxa"/>
            <w:tcBorders>
              <w:top w:val="nil"/>
              <w:left w:val="nil"/>
              <w:bottom w:val="nil"/>
              <w:right w:val="nil"/>
            </w:tcBorders>
          </w:tcPr>
          <w:p w:rsidR="00B1085C" w:rsidRPr="002D1C92" w:rsidRDefault="00FB6080" w:rsidP="001569C3">
            <w:pPr>
              <w:spacing w:after="0" w:line="240" w:lineRule="auto"/>
              <w:jc w:val="both"/>
              <w:rPr>
                <w:rFonts w:ascii="Times New Roman" w:hAnsi="Times New Roman"/>
                <w:sz w:val="28"/>
                <w:szCs w:val="28"/>
              </w:rPr>
            </w:pPr>
            <w:r>
              <w:rPr>
                <w:rFonts w:ascii="Times New Roman" w:hAnsi="Times New Roman"/>
                <w:sz w:val="28"/>
                <w:szCs w:val="28"/>
              </w:rPr>
              <w:t xml:space="preserve">Об </w:t>
            </w:r>
            <w:r w:rsidR="00B1085C">
              <w:rPr>
                <w:rFonts w:ascii="Times New Roman" w:hAnsi="Times New Roman"/>
                <w:sz w:val="28"/>
                <w:szCs w:val="28"/>
              </w:rPr>
              <w:t>отчет</w:t>
            </w:r>
            <w:r>
              <w:rPr>
                <w:rFonts w:ascii="Times New Roman" w:hAnsi="Times New Roman"/>
                <w:sz w:val="28"/>
                <w:szCs w:val="28"/>
              </w:rPr>
              <w:t>е</w:t>
            </w:r>
            <w:r w:rsidR="00B1085C">
              <w:rPr>
                <w:rFonts w:ascii="Times New Roman" w:hAnsi="Times New Roman"/>
                <w:sz w:val="28"/>
                <w:szCs w:val="28"/>
              </w:rPr>
              <w:t xml:space="preserve"> о деятельности</w:t>
            </w:r>
            <w:r w:rsidR="00C53D54">
              <w:rPr>
                <w:rFonts w:ascii="Times New Roman" w:hAnsi="Times New Roman"/>
                <w:sz w:val="28"/>
                <w:szCs w:val="28"/>
              </w:rPr>
              <w:t xml:space="preserve"> </w:t>
            </w:r>
            <w:r w:rsidR="00B1085C">
              <w:rPr>
                <w:rFonts w:ascii="Times New Roman" w:hAnsi="Times New Roman"/>
                <w:sz w:val="28"/>
                <w:szCs w:val="28"/>
              </w:rPr>
              <w:t>контрольно-ревизионной</w:t>
            </w:r>
            <w:r w:rsidR="00C53D54">
              <w:rPr>
                <w:rFonts w:ascii="Times New Roman" w:hAnsi="Times New Roman"/>
                <w:sz w:val="28"/>
                <w:szCs w:val="28"/>
              </w:rPr>
              <w:t xml:space="preserve"> </w:t>
            </w:r>
            <w:r w:rsidR="00B1085C">
              <w:rPr>
                <w:rFonts w:ascii="Times New Roman" w:hAnsi="Times New Roman"/>
                <w:sz w:val="28"/>
                <w:szCs w:val="28"/>
              </w:rPr>
              <w:t>комиссии</w:t>
            </w:r>
            <w:r w:rsidR="00C53D54">
              <w:rPr>
                <w:rFonts w:ascii="Times New Roman" w:hAnsi="Times New Roman"/>
                <w:sz w:val="28"/>
                <w:szCs w:val="28"/>
              </w:rPr>
              <w:t xml:space="preserve"> Муниципального Собрания Кичменгско-Городецкого муниципального района </w:t>
            </w:r>
            <w:r w:rsidR="001569C3">
              <w:rPr>
                <w:rFonts w:ascii="Times New Roman" w:hAnsi="Times New Roman"/>
                <w:sz w:val="28"/>
                <w:szCs w:val="28"/>
              </w:rPr>
              <w:t xml:space="preserve">за </w:t>
            </w:r>
            <w:r w:rsidR="00B1085C">
              <w:rPr>
                <w:rFonts w:ascii="Times New Roman" w:hAnsi="Times New Roman"/>
                <w:sz w:val="28"/>
                <w:szCs w:val="28"/>
              </w:rPr>
              <w:t xml:space="preserve"> 2020  год </w:t>
            </w:r>
          </w:p>
        </w:tc>
      </w:tr>
    </w:tbl>
    <w:p w:rsidR="002D1C92" w:rsidRDefault="002D1C92" w:rsidP="002D1C92">
      <w:pPr>
        <w:pStyle w:val="af1"/>
        <w:ind w:firstLine="0"/>
        <w:rPr>
          <w:rFonts w:ascii="Times New Roman" w:hAnsi="Times New Roman"/>
          <w:sz w:val="24"/>
          <w:szCs w:val="24"/>
        </w:rPr>
      </w:pPr>
    </w:p>
    <w:p w:rsidR="00B1085C" w:rsidRDefault="00B1085C" w:rsidP="00B1085C">
      <w:pPr>
        <w:jc w:val="both"/>
        <w:rPr>
          <w:sz w:val="28"/>
          <w:szCs w:val="28"/>
        </w:rPr>
      </w:pPr>
    </w:p>
    <w:p w:rsidR="00C53D54" w:rsidRPr="008929D6" w:rsidRDefault="008260E4" w:rsidP="008929D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8929D6">
        <w:rPr>
          <w:rFonts w:eastAsiaTheme="minorHAnsi"/>
          <w:sz w:val="28"/>
          <w:szCs w:val="28"/>
          <w:lang w:eastAsia="en-US"/>
        </w:rPr>
        <w:t xml:space="preserve"> Рассмотрев</w:t>
      </w:r>
      <w:r w:rsidR="00E52986" w:rsidRPr="00485FBB">
        <w:rPr>
          <w:rFonts w:eastAsiaTheme="minorHAnsi"/>
          <w:sz w:val="28"/>
          <w:szCs w:val="28"/>
          <w:lang w:eastAsia="en-US"/>
        </w:rPr>
        <w:t xml:space="preserve"> отчет </w:t>
      </w:r>
      <w:r w:rsidR="00FB6080">
        <w:rPr>
          <w:rFonts w:eastAsiaTheme="minorHAnsi"/>
          <w:sz w:val="28"/>
          <w:szCs w:val="28"/>
          <w:lang w:eastAsia="en-US"/>
        </w:rPr>
        <w:t xml:space="preserve">председателя </w:t>
      </w:r>
      <w:r w:rsidR="00FB6080" w:rsidRPr="00485FBB">
        <w:rPr>
          <w:sz w:val="28"/>
          <w:szCs w:val="28"/>
        </w:rPr>
        <w:t>контрольно-ревизионной комиссии</w:t>
      </w:r>
      <w:r w:rsidR="00FB6080" w:rsidRPr="00485FBB">
        <w:rPr>
          <w:rFonts w:eastAsiaTheme="minorHAnsi"/>
          <w:sz w:val="28"/>
          <w:szCs w:val="28"/>
          <w:lang w:eastAsia="en-US"/>
        </w:rPr>
        <w:t xml:space="preserve"> </w:t>
      </w:r>
      <w:proofErr w:type="spellStart"/>
      <w:r w:rsidR="00FB6080">
        <w:rPr>
          <w:rFonts w:eastAsiaTheme="minorHAnsi"/>
          <w:sz w:val="28"/>
          <w:szCs w:val="28"/>
          <w:lang w:eastAsia="en-US"/>
        </w:rPr>
        <w:t>Пустохина</w:t>
      </w:r>
      <w:proofErr w:type="spellEnd"/>
      <w:r w:rsidR="00FB6080">
        <w:rPr>
          <w:rFonts w:eastAsiaTheme="minorHAnsi"/>
          <w:sz w:val="28"/>
          <w:szCs w:val="28"/>
          <w:lang w:eastAsia="en-US"/>
        </w:rPr>
        <w:t xml:space="preserve"> А.А.</w:t>
      </w:r>
      <w:r w:rsidR="00FB6080" w:rsidRPr="00485FBB">
        <w:rPr>
          <w:rFonts w:eastAsiaTheme="minorHAnsi"/>
          <w:sz w:val="28"/>
          <w:szCs w:val="28"/>
          <w:lang w:eastAsia="en-US"/>
        </w:rPr>
        <w:t xml:space="preserve"> </w:t>
      </w:r>
      <w:r w:rsidR="00E52986" w:rsidRPr="00485FBB">
        <w:rPr>
          <w:rFonts w:eastAsiaTheme="minorHAnsi"/>
          <w:sz w:val="28"/>
          <w:szCs w:val="28"/>
          <w:lang w:eastAsia="en-US"/>
        </w:rPr>
        <w:t xml:space="preserve">о </w:t>
      </w:r>
      <w:r w:rsidR="00E52986" w:rsidRPr="00485FBB">
        <w:rPr>
          <w:sz w:val="28"/>
          <w:szCs w:val="28"/>
        </w:rPr>
        <w:t>деятельности контрольно-ревизионной комиссии Муниципального Собрания Кичменгско-Городецкого муниципального района за 20</w:t>
      </w:r>
      <w:r w:rsidR="00E52986">
        <w:rPr>
          <w:sz w:val="28"/>
          <w:szCs w:val="28"/>
        </w:rPr>
        <w:t>20</w:t>
      </w:r>
      <w:r w:rsidR="00E52986" w:rsidRPr="00485FBB">
        <w:rPr>
          <w:sz w:val="28"/>
          <w:szCs w:val="28"/>
        </w:rPr>
        <w:t xml:space="preserve"> год</w:t>
      </w:r>
      <w:r w:rsidR="00E52986" w:rsidRPr="00485FBB">
        <w:rPr>
          <w:rFonts w:eastAsiaTheme="minorHAnsi"/>
          <w:sz w:val="28"/>
          <w:szCs w:val="28"/>
          <w:lang w:eastAsia="en-US"/>
        </w:rPr>
        <w:t xml:space="preserve">, </w:t>
      </w:r>
      <w:r w:rsidR="008929D6">
        <w:rPr>
          <w:rFonts w:eastAsiaTheme="minorHAnsi"/>
          <w:sz w:val="28"/>
          <w:szCs w:val="28"/>
          <w:lang w:eastAsia="en-US"/>
        </w:rPr>
        <w:t xml:space="preserve">в соответствии со ст. 19  Федерального </w:t>
      </w:r>
      <w:r w:rsidR="008929D6" w:rsidRPr="001921C6">
        <w:rPr>
          <w:rFonts w:eastAsiaTheme="minorHAnsi"/>
          <w:sz w:val="28"/>
          <w:szCs w:val="28"/>
          <w:lang w:eastAsia="en-US"/>
        </w:rPr>
        <w:t xml:space="preserve"> закон</w:t>
      </w:r>
      <w:r w:rsidR="008929D6">
        <w:rPr>
          <w:rFonts w:eastAsiaTheme="minorHAnsi"/>
          <w:sz w:val="28"/>
          <w:szCs w:val="28"/>
          <w:lang w:eastAsia="en-US"/>
        </w:rPr>
        <w:t xml:space="preserve">а </w:t>
      </w:r>
      <w:r w:rsidR="008929D6" w:rsidRPr="001921C6">
        <w:rPr>
          <w:rFonts w:eastAsiaTheme="minorHAnsi"/>
          <w:sz w:val="28"/>
          <w:szCs w:val="28"/>
          <w:lang w:eastAsia="en-US"/>
        </w:rPr>
        <w:t xml:space="preserve"> от 07.02.2011 </w:t>
      </w:r>
      <w:r w:rsidR="008929D6">
        <w:rPr>
          <w:rFonts w:eastAsiaTheme="minorHAnsi"/>
          <w:sz w:val="28"/>
          <w:szCs w:val="28"/>
          <w:lang w:eastAsia="en-US"/>
        </w:rPr>
        <w:t>№</w:t>
      </w:r>
      <w:r w:rsidR="008929D6" w:rsidRPr="001921C6">
        <w:rPr>
          <w:rFonts w:eastAsiaTheme="minorHAnsi"/>
          <w:sz w:val="28"/>
          <w:szCs w:val="28"/>
          <w:lang w:eastAsia="en-US"/>
        </w:rPr>
        <w:t xml:space="preserve"> 6-ФЗ</w:t>
      </w:r>
      <w:r w:rsidR="008929D6">
        <w:rPr>
          <w:rFonts w:eastAsiaTheme="minorHAnsi"/>
          <w:sz w:val="28"/>
          <w:szCs w:val="28"/>
          <w:lang w:eastAsia="en-US"/>
        </w:rPr>
        <w:t xml:space="preserve"> «</w:t>
      </w:r>
      <w:r w:rsidR="008929D6" w:rsidRPr="001921C6">
        <w:rPr>
          <w:rFonts w:eastAsiaTheme="minorHAnsi"/>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8929D6">
        <w:rPr>
          <w:rFonts w:eastAsiaTheme="minorHAnsi"/>
          <w:sz w:val="28"/>
          <w:szCs w:val="28"/>
          <w:lang w:eastAsia="en-US"/>
        </w:rPr>
        <w:t>»,</w:t>
      </w:r>
    </w:p>
    <w:p w:rsidR="00B1085C" w:rsidRDefault="008260E4" w:rsidP="00B1085C">
      <w:pPr>
        <w:autoSpaceDE w:val="0"/>
        <w:autoSpaceDN w:val="0"/>
        <w:adjustRightInd w:val="0"/>
        <w:ind w:firstLine="567"/>
        <w:rPr>
          <w:b/>
          <w:sz w:val="28"/>
          <w:szCs w:val="28"/>
        </w:rPr>
      </w:pPr>
      <w:r>
        <w:rPr>
          <w:sz w:val="28"/>
          <w:szCs w:val="28"/>
        </w:rPr>
        <w:t xml:space="preserve">  </w:t>
      </w:r>
      <w:r w:rsidR="00B1085C" w:rsidRPr="00485FBB">
        <w:rPr>
          <w:sz w:val="28"/>
          <w:szCs w:val="28"/>
        </w:rPr>
        <w:t xml:space="preserve">Муниципальное Собрание </w:t>
      </w:r>
      <w:r w:rsidR="00B1085C" w:rsidRPr="00485FBB">
        <w:rPr>
          <w:b/>
          <w:sz w:val="28"/>
          <w:szCs w:val="28"/>
        </w:rPr>
        <w:t>РЕШИЛО:</w:t>
      </w:r>
    </w:p>
    <w:p w:rsidR="00C53D54" w:rsidRDefault="00FB6080" w:rsidP="00C53D54">
      <w:pPr>
        <w:pStyle w:val="a5"/>
        <w:numPr>
          <w:ilvl w:val="0"/>
          <w:numId w:val="4"/>
        </w:numPr>
        <w:tabs>
          <w:tab w:val="left" w:pos="993"/>
        </w:tabs>
        <w:ind w:left="0" w:firstLine="675"/>
        <w:jc w:val="both"/>
        <w:rPr>
          <w:sz w:val="28"/>
          <w:szCs w:val="28"/>
        </w:rPr>
      </w:pPr>
      <w:r>
        <w:rPr>
          <w:sz w:val="28"/>
          <w:szCs w:val="28"/>
        </w:rPr>
        <w:t xml:space="preserve">Принять к сведению представленный </w:t>
      </w:r>
      <w:r w:rsidR="00C53D54" w:rsidRPr="00C53D54">
        <w:rPr>
          <w:sz w:val="28"/>
          <w:szCs w:val="28"/>
        </w:rPr>
        <w:t xml:space="preserve">отчет о деятельности </w:t>
      </w:r>
      <w:r w:rsidR="00C53D54">
        <w:rPr>
          <w:sz w:val="28"/>
          <w:szCs w:val="28"/>
        </w:rPr>
        <w:t xml:space="preserve">контрольно-ревизионной комиссии Муниципального Собрания Кичменгско-Городецкого муниципального района </w:t>
      </w:r>
      <w:r>
        <w:rPr>
          <w:sz w:val="28"/>
          <w:szCs w:val="28"/>
        </w:rPr>
        <w:t xml:space="preserve">за </w:t>
      </w:r>
      <w:r w:rsidR="00C53D54" w:rsidRPr="00C53D54">
        <w:rPr>
          <w:sz w:val="28"/>
          <w:szCs w:val="28"/>
        </w:rPr>
        <w:t xml:space="preserve"> 20</w:t>
      </w:r>
      <w:r w:rsidR="00C53D54">
        <w:rPr>
          <w:sz w:val="28"/>
          <w:szCs w:val="28"/>
        </w:rPr>
        <w:t xml:space="preserve">20 </w:t>
      </w:r>
      <w:r w:rsidR="00C53D54" w:rsidRPr="00C53D54">
        <w:rPr>
          <w:sz w:val="28"/>
          <w:szCs w:val="28"/>
        </w:rPr>
        <w:t xml:space="preserve"> год</w:t>
      </w:r>
      <w:r>
        <w:rPr>
          <w:sz w:val="28"/>
          <w:szCs w:val="28"/>
        </w:rPr>
        <w:t xml:space="preserve"> </w:t>
      </w:r>
      <w:r w:rsidR="00C53D54" w:rsidRPr="00C53D54">
        <w:rPr>
          <w:sz w:val="28"/>
          <w:szCs w:val="28"/>
        </w:rPr>
        <w:t xml:space="preserve"> (</w:t>
      </w:r>
      <w:r w:rsidR="00C53D54">
        <w:rPr>
          <w:sz w:val="28"/>
          <w:szCs w:val="28"/>
        </w:rPr>
        <w:t>прилагается</w:t>
      </w:r>
      <w:r w:rsidR="00C53D54" w:rsidRPr="00C53D54">
        <w:rPr>
          <w:sz w:val="28"/>
          <w:szCs w:val="28"/>
        </w:rPr>
        <w:t>).</w:t>
      </w:r>
    </w:p>
    <w:p w:rsidR="00FB6080" w:rsidRPr="00FB6080" w:rsidRDefault="00FB6080" w:rsidP="00FF2E13">
      <w:pPr>
        <w:pStyle w:val="af1"/>
        <w:numPr>
          <w:ilvl w:val="0"/>
          <w:numId w:val="4"/>
        </w:numPr>
        <w:tabs>
          <w:tab w:val="left" w:pos="0"/>
          <w:tab w:val="left" w:pos="1134"/>
        </w:tabs>
        <w:ind w:left="0" w:firstLine="675"/>
        <w:rPr>
          <w:rFonts w:ascii="Times New Roman" w:hAnsi="Times New Roman"/>
        </w:rPr>
      </w:pPr>
      <w:r w:rsidRPr="00FB6080">
        <w:rPr>
          <w:rFonts w:ascii="Times New Roman" w:hAnsi="Times New Roman"/>
        </w:rPr>
        <w:t>Разместить указанный  отчет</w:t>
      </w:r>
      <w:r>
        <w:t xml:space="preserve"> </w:t>
      </w:r>
      <w:r>
        <w:rPr>
          <w:rFonts w:ascii="Times New Roman" w:hAnsi="Times New Roman"/>
        </w:rPr>
        <w:t>на официальном сайте Кичменгско-Городецкого муниципального района в информационно-телекоммуникационной сети «Интернет».</w:t>
      </w:r>
    </w:p>
    <w:p w:rsidR="00B1085C" w:rsidRPr="00FB6080" w:rsidRDefault="00C53D54" w:rsidP="00FB6080">
      <w:pPr>
        <w:pStyle w:val="af1"/>
        <w:numPr>
          <w:ilvl w:val="0"/>
          <w:numId w:val="4"/>
        </w:numPr>
        <w:shd w:val="clear" w:color="auto" w:fill="FFFFFF"/>
        <w:tabs>
          <w:tab w:val="left" w:pos="993"/>
        </w:tabs>
        <w:ind w:hanging="644"/>
      </w:pPr>
      <w:r w:rsidRPr="009366C1">
        <w:rPr>
          <w:rFonts w:ascii="Times New Roman" w:hAnsi="Times New Roman"/>
        </w:rPr>
        <w:t>Настоящее решение вступает в силу  со дня  принятия</w:t>
      </w:r>
      <w:r w:rsidR="00FB6080">
        <w:rPr>
          <w:rFonts w:ascii="Times New Roman" w:hAnsi="Times New Roman"/>
        </w:rPr>
        <w:t>.</w:t>
      </w:r>
    </w:p>
    <w:p w:rsidR="00C53D54" w:rsidRDefault="00C53D54" w:rsidP="00BB6625">
      <w:pPr>
        <w:pStyle w:val="af1"/>
        <w:ind w:firstLine="567"/>
        <w:rPr>
          <w:rFonts w:ascii="Times New Roman" w:hAnsi="Times New Roman"/>
        </w:rPr>
      </w:pPr>
    </w:p>
    <w:p w:rsidR="00FB6080" w:rsidRDefault="00FB6080" w:rsidP="00BB6625">
      <w:pPr>
        <w:pStyle w:val="af1"/>
        <w:ind w:firstLine="567"/>
        <w:rPr>
          <w:rFonts w:ascii="Times New Roman" w:hAnsi="Times New Roman"/>
        </w:rPr>
      </w:pPr>
    </w:p>
    <w:p w:rsidR="00FB6080" w:rsidRPr="00BB6625" w:rsidRDefault="00FB6080" w:rsidP="00BB6625">
      <w:pPr>
        <w:pStyle w:val="af1"/>
        <w:ind w:firstLine="567"/>
        <w:rPr>
          <w:rFonts w:ascii="Times New Roman" w:hAnsi="Times New Roman"/>
        </w:rPr>
      </w:pPr>
    </w:p>
    <w:p w:rsidR="002D1C92" w:rsidRDefault="002D1C92" w:rsidP="002D1C92">
      <w:pPr>
        <w:rPr>
          <w:sz w:val="28"/>
          <w:szCs w:val="28"/>
        </w:rPr>
      </w:pPr>
      <w:r>
        <w:rPr>
          <w:sz w:val="28"/>
          <w:szCs w:val="28"/>
        </w:rPr>
        <w:t>Глава  Кичменгско-Городецкого</w:t>
      </w:r>
    </w:p>
    <w:p w:rsidR="00C830A6" w:rsidRDefault="002D1C92" w:rsidP="00BB6625">
      <w:pPr>
        <w:rPr>
          <w:sz w:val="28"/>
          <w:szCs w:val="28"/>
        </w:rPr>
      </w:pPr>
      <w:r>
        <w:rPr>
          <w:sz w:val="28"/>
          <w:szCs w:val="28"/>
        </w:rPr>
        <w:t>муниципального</w:t>
      </w:r>
      <w:r w:rsidR="002B145E">
        <w:rPr>
          <w:sz w:val="28"/>
          <w:szCs w:val="28"/>
        </w:rPr>
        <w:t xml:space="preserve"> </w:t>
      </w:r>
      <w:r>
        <w:rPr>
          <w:sz w:val="28"/>
          <w:szCs w:val="28"/>
        </w:rPr>
        <w:t xml:space="preserve">  района                                                                  Л. Н. Дьякова</w:t>
      </w:r>
    </w:p>
    <w:p w:rsidR="00FB6080" w:rsidRDefault="00FB6080" w:rsidP="00BB6625">
      <w:pPr>
        <w:rPr>
          <w:sz w:val="28"/>
          <w:szCs w:val="28"/>
        </w:rPr>
      </w:pPr>
    </w:p>
    <w:p w:rsidR="008929D6" w:rsidRDefault="008929D6" w:rsidP="00BB6625">
      <w:pPr>
        <w:rPr>
          <w:sz w:val="28"/>
          <w:szCs w:val="28"/>
        </w:rPr>
      </w:pPr>
    </w:p>
    <w:p w:rsidR="00FB6080" w:rsidRDefault="00FB6080" w:rsidP="00BB6625">
      <w:pPr>
        <w:rPr>
          <w:sz w:val="28"/>
          <w:szCs w:val="28"/>
        </w:rPr>
      </w:pPr>
    </w:p>
    <w:p w:rsidR="00C53D54" w:rsidRDefault="00C53D54" w:rsidP="00C53D54">
      <w:pPr>
        <w:jc w:val="right"/>
        <w:rPr>
          <w:kern w:val="36"/>
          <w:sz w:val="28"/>
          <w:szCs w:val="28"/>
        </w:rPr>
      </w:pPr>
      <w:r>
        <w:rPr>
          <w:kern w:val="36"/>
          <w:sz w:val="28"/>
          <w:szCs w:val="28"/>
        </w:rPr>
        <w:lastRenderedPageBreak/>
        <w:t>Приложение</w:t>
      </w:r>
    </w:p>
    <w:p w:rsidR="00C53D54" w:rsidRDefault="00C53D54" w:rsidP="00C53D54">
      <w:pPr>
        <w:jc w:val="right"/>
        <w:rPr>
          <w:kern w:val="36"/>
          <w:sz w:val="28"/>
          <w:szCs w:val="28"/>
        </w:rPr>
      </w:pPr>
      <w:r>
        <w:rPr>
          <w:kern w:val="36"/>
          <w:sz w:val="28"/>
          <w:szCs w:val="28"/>
        </w:rPr>
        <w:t>к решению Муниципального Собрания</w:t>
      </w:r>
    </w:p>
    <w:p w:rsidR="00C53D54" w:rsidRDefault="00C53D54" w:rsidP="00C53D54">
      <w:pPr>
        <w:jc w:val="right"/>
        <w:rPr>
          <w:kern w:val="36"/>
          <w:sz w:val="28"/>
          <w:szCs w:val="28"/>
        </w:rPr>
      </w:pPr>
      <w:r>
        <w:rPr>
          <w:kern w:val="36"/>
          <w:sz w:val="28"/>
          <w:szCs w:val="28"/>
        </w:rPr>
        <w:t>Кичменгско-Городецкого муниципального района</w:t>
      </w:r>
    </w:p>
    <w:p w:rsidR="00C53D54" w:rsidRPr="00D02479" w:rsidRDefault="00C53D54" w:rsidP="00C53D54">
      <w:pPr>
        <w:jc w:val="right"/>
        <w:rPr>
          <w:kern w:val="36"/>
          <w:sz w:val="28"/>
          <w:szCs w:val="28"/>
        </w:rPr>
      </w:pPr>
      <w:r>
        <w:rPr>
          <w:kern w:val="36"/>
          <w:sz w:val="28"/>
          <w:szCs w:val="28"/>
        </w:rPr>
        <w:t xml:space="preserve">                                                                        от 29.01.2021 №</w:t>
      </w:r>
      <w:r w:rsidR="00873154">
        <w:rPr>
          <w:kern w:val="36"/>
          <w:sz w:val="28"/>
          <w:szCs w:val="28"/>
        </w:rPr>
        <w:t xml:space="preserve"> 278 </w:t>
      </w:r>
      <w:r>
        <w:rPr>
          <w:kern w:val="36"/>
          <w:sz w:val="28"/>
          <w:szCs w:val="28"/>
        </w:rPr>
        <w:t xml:space="preserve"> </w:t>
      </w:r>
    </w:p>
    <w:p w:rsidR="00C53D54" w:rsidRDefault="00C53D54" w:rsidP="00BB6625">
      <w:pPr>
        <w:rPr>
          <w:sz w:val="28"/>
          <w:szCs w:val="28"/>
        </w:rPr>
      </w:pPr>
    </w:p>
    <w:p w:rsidR="00873154" w:rsidRDefault="00873154" w:rsidP="00BB6625">
      <w:pPr>
        <w:rPr>
          <w:sz w:val="28"/>
          <w:szCs w:val="28"/>
        </w:rPr>
      </w:pPr>
    </w:p>
    <w:p w:rsidR="000E2262" w:rsidRDefault="000E2262" w:rsidP="00873154">
      <w:pPr>
        <w:jc w:val="center"/>
        <w:rPr>
          <w:b/>
          <w:kern w:val="36"/>
          <w:sz w:val="28"/>
          <w:szCs w:val="28"/>
        </w:rPr>
      </w:pPr>
      <w:r>
        <w:rPr>
          <w:b/>
          <w:kern w:val="36"/>
          <w:sz w:val="28"/>
          <w:szCs w:val="28"/>
        </w:rPr>
        <w:t>Отчет о деятельности</w:t>
      </w:r>
    </w:p>
    <w:p w:rsidR="000E2262" w:rsidRDefault="000E2262" w:rsidP="00873154">
      <w:pPr>
        <w:jc w:val="center"/>
        <w:rPr>
          <w:b/>
          <w:kern w:val="36"/>
          <w:sz w:val="28"/>
          <w:szCs w:val="28"/>
        </w:rPr>
      </w:pPr>
      <w:r>
        <w:rPr>
          <w:b/>
          <w:kern w:val="36"/>
          <w:sz w:val="28"/>
          <w:szCs w:val="28"/>
        </w:rPr>
        <w:t>контрольно-ревизионной комиссии Муниципального Собрания Кичменгско-Городецкого муниципального района за 2020 год</w:t>
      </w:r>
    </w:p>
    <w:p w:rsidR="00873154" w:rsidRDefault="00873154" w:rsidP="00873154">
      <w:pPr>
        <w:jc w:val="center"/>
        <w:rPr>
          <w:b/>
          <w:kern w:val="36"/>
          <w:sz w:val="28"/>
          <w:szCs w:val="28"/>
        </w:rPr>
      </w:pPr>
    </w:p>
    <w:p w:rsidR="000E2262" w:rsidRDefault="000E2262" w:rsidP="000E2262">
      <w:pPr>
        <w:outlineLvl w:val="2"/>
        <w:rPr>
          <w:b/>
          <w:bCs/>
          <w:sz w:val="14"/>
          <w:szCs w:val="14"/>
        </w:rPr>
      </w:pPr>
    </w:p>
    <w:p w:rsidR="000E2262" w:rsidRDefault="000E2262" w:rsidP="000E2262">
      <w:pPr>
        <w:outlineLvl w:val="2"/>
        <w:rPr>
          <w:b/>
          <w:bCs/>
          <w:sz w:val="26"/>
          <w:szCs w:val="26"/>
        </w:rPr>
      </w:pPr>
      <w:r>
        <w:rPr>
          <w:b/>
          <w:bCs/>
          <w:sz w:val="26"/>
          <w:szCs w:val="26"/>
        </w:rPr>
        <w:t>1. Общие сведения</w:t>
      </w:r>
    </w:p>
    <w:p w:rsidR="000E2262" w:rsidRDefault="000E2262" w:rsidP="000E2262">
      <w:pPr>
        <w:outlineLvl w:val="2"/>
        <w:rPr>
          <w:bCs/>
          <w:sz w:val="14"/>
          <w:szCs w:val="14"/>
        </w:rPr>
      </w:pPr>
    </w:p>
    <w:p w:rsidR="000E2262" w:rsidRDefault="000E2262" w:rsidP="00873154">
      <w:pPr>
        <w:ind w:firstLine="567"/>
        <w:jc w:val="both"/>
        <w:rPr>
          <w:rFonts w:eastAsiaTheme="minorHAnsi"/>
          <w:sz w:val="28"/>
          <w:szCs w:val="28"/>
          <w:lang w:eastAsia="en-US"/>
        </w:rPr>
      </w:pPr>
      <w:r>
        <w:rPr>
          <w:sz w:val="28"/>
          <w:szCs w:val="28"/>
        </w:rPr>
        <w:t xml:space="preserve">Отчет о деятельности контрольно-ревизионной комиссии Муниципального Собрания Кичменгско-Городецкого муниципального района за 2020 год подготовлен в соответствии со статьей 19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на основании требований пункта 21.2. </w:t>
      </w:r>
      <w:r>
        <w:rPr>
          <w:rFonts w:ascii="Times New Roman CYR" w:hAnsi="Times New Roman CYR" w:cs="Times New Roman CYR"/>
          <w:sz w:val="28"/>
          <w:szCs w:val="28"/>
        </w:rPr>
        <w:t xml:space="preserve">статьи 21 Положения о контрольно-ревизионной комиссии (далее – Положение), утвержденного решением Муниципального Собрания от 08.12.2011 </w:t>
      </w:r>
      <w:r>
        <w:rPr>
          <w:sz w:val="28"/>
          <w:szCs w:val="28"/>
        </w:rPr>
        <w:t xml:space="preserve">№ 208 «О контрольно-ревизионной комиссии Муниципального Собрания Кичменгско-Городецкого муниципального района» (далее – КРК, контрольно-ревизионная комиссия), согласно которому контрольно-ревизионная комиссия ежегодно представляет отчет о своей деятельности Муниципальному Собранию района. </w:t>
      </w:r>
    </w:p>
    <w:p w:rsidR="000E2262" w:rsidRPr="00873154" w:rsidRDefault="000E2262" w:rsidP="00873154">
      <w:pPr>
        <w:ind w:firstLine="567"/>
        <w:jc w:val="both"/>
        <w:rPr>
          <w:sz w:val="28"/>
          <w:szCs w:val="28"/>
        </w:rPr>
      </w:pPr>
      <w:r>
        <w:rPr>
          <w:sz w:val="28"/>
          <w:szCs w:val="28"/>
        </w:rPr>
        <w:t>Компетенция контрольно-ревизионной комиссии определена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Вологодской области, Кичменгско-Городецкого муниципального района.</w:t>
      </w:r>
    </w:p>
    <w:p w:rsidR="000E2262" w:rsidRDefault="000E2262" w:rsidP="00873154">
      <w:pPr>
        <w:ind w:firstLine="567"/>
        <w:jc w:val="both"/>
        <w:rPr>
          <w:sz w:val="28"/>
          <w:szCs w:val="28"/>
        </w:rPr>
      </w:pPr>
      <w:r>
        <w:rPr>
          <w:sz w:val="28"/>
          <w:szCs w:val="28"/>
        </w:rPr>
        <w:t xml:space="preserve">КРК в соответствии с Положением является постоянно действующим органом внешнего муниципального финансового контроля, образована Муниципальным Собранием района и ему подотчетна. </w:t>
      </w:r>
    </w:p>
    <w:p w:rsidR="000E2262" w:rsidRPr="00873154" w:rsidRDefault="000E2262" w:rsidP="00873154">
      <w:pPr>
        <w:ind w:firstLine="567"/>
        <w:jc w:val="both"/>
        <w:rPr>
          <w:sz w:val="28"/>
          <w:szCs w:val="28"/>
        </w:rPr>
      </w:pPr>
      <w:r>
        <w:rPr>
          <w:sz w:val="28"/>
          <w:szCs w:val="28"/>
        </w:rPr>
        <w:t>Деятельность контрольно-ревизионной комиссии строится на основе принципов законности, объективности, эффективности, независимости и гласности.</w:t>
      </w:r>
    </w:p>
    <w:p w:rsidR="000E2262" w:rsidRPr="00873154" w:rsidRDefault="000E2262" w:rsidP="00873154">
      <w:pPr>
        <w:ind w:firstLine="567"/>
        <w:jc w:val="both"/>
        <w:rPr>
          <w:sz w:val="28"/>
          <w:szCs w:val="28"/>
        </w:rPr>
      </w:pPr>
      <w:r>
        <w:rPr>
          <w:rFonts w:ascii="Times New Roman CYR" w:hAnsi="Times New Roman CYR" w:cs="Times New Roman CYR"/>
          <w:sz w:val="28"/>
          <w:szCs w:val="28"/>
        </w:rPr>
        <w:t>Штатная численность контрольно-ревизионной комиссии составляет 2 человека.</w:t>
      </w:r>
      <w:r>
        <w:rPr>
          <w:sz w:val="28"/>
          <w:szCs w:val="28"/>
        </w:rPr>
        <w:t xml:space="preserve"> </w:t>
      </w:r>
    </w:p>
    <w:p w:rsidR="000E2262" w:rsidRDefault="000E2262" w:rsidP="00873154">
      <w:pPr>
        <w:autoSpaceDE w:val="0"/>
        <w:autoSpaceDN w:val="0"/>
        <w:adjustRightInd w:val="0"/>
        <w:ind w:firstLine="567"/>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В целях развития общих подходов и алгоритмов проверочной и аналитической работы контрольно-ревизионной комиссией по состоянию на 1 января 2021 года разработаны и утверждены 11 стандартов внешнего муниципального финансового контроля:</w:t>
      </w:r>
    </w:p>
    <w:p w:rsidR="000E2262" w:rsidRDefault="000E2262" w:rsidP="00873154">
      <w:pPr>
        <w:ind w:firstLine="567"/>
        <w:jc w:val="both"/>
        <w:rPr>
          <w:iCs/>
          <w:sz w:val="28"/>
          <w:szCs w:val="28"/>
        </w:rPr>
      </w:pPr>
      <w:r>
        <w:rPr>
          <w:iCs/>
          <w:sz w:val="28"/>
          <w:szCs w:val="28"/>
        </w:rPr>
        <w:t xml:space="preserve"> «Планирование работы контрольно-ревизионной комиссии».</w:t>
      </w:r>
    </w:p>
    <w:p w:rsidR="000E2262" w:rsidRDefault="000E2262" w:rsidP="00873154">
      <w:pPr>
        <w:ind w:firstLine="567"/>
        <w:jc w:val="both"/>
        <w:rPr>
          <w:iCs/>
          <w:sz w:val="28"/>
          <w:szCs w:val="28"/>
        </w:rPr>
      </w:pPr>
      <w:r>
        <w:rPr>
          <w:iCs/>
          <w:sz w:val="28"/>
          <w:szCs w:val="28"/>
        </w:rPr>
        <w:t xml:space="preserve"> «Подготовка отчета о работе контрольно-ревизионной комиссии».</w:t>
      </w:r>
    </w:p>
    <w:p w:rsidR="000E2262" w:rsidRDefault="000E2262" w:rsidP="00873154">
      <w:pPr>
        <w:ind w:firstLine="567"/>
        <w:jc w:val="both"/>
        <w:rPr>
          <w:iCs/>
          <w:sz w:val="28"/>
          <w:szCs w:val="28"/>
        </w:rPr>
      </w:pPr>
      <w:r>
        <w:rPr>
          <w:iCs/>
          <w:sz w:val="28"/>
          <w:szCs w:val="28"/>
        </w:rPr>
        <w:lastRenderedPageBreak/>
        <w:t>«Финансово-экономическая экспертиза проектов муниципальных программ».</w:t>
      </w:r>
    </w:p>
    <w:p w:rsidR="000E2262" w:rsidRDefault="000E2262" w:rsidP="00873154">
      <w:pPr>
        <w:ind w:firstLine="567"/>
        <w:jc w:val="both"/>
        <w:rPr>
          <w:iCs/>
          <w:sz w:val="28"/>
          <w:szCs w:val="28"/>
        </w:rPr>
      </w:pPr>
      <w:r>
        <w:rPr>
          <w:iCs/>
          <w:sz w:val="28"/>
          <w:szCs w:val="28"/>
        </w:rPr>
        <w:t>«Проведение экспертно-аналитического мероприятия».</w:t>
      </w:r>
    </w:p>
    <w:p w:rsidR="000E2262" w:rsidRDefault="000E2262" w:rsidP="00873154">
      <w:pPr>
        <w:ind w:firstLine="567"/>
        <w:jc w:val="both"/>
        <w:rPr>
          <w:iCs/>
          <w:sz w:val="28"/>
          <w:szCs w:val="28"/>
        </w:rPr>
      </w:pPr>
      <w:r>
        <w:rPr>
          <w:iCs/>
          <w:sz w:val="28"/>
          <w:szCs w:val="28"/>
        </w:rPr>
        <w:t>«Общие правила проведения контрольного мероприятия».</w:t>
      </w:r>
    </w:p>
    <w:p w:rsidR="000E2262" w:rsidRDefault="000E2262" w:rsidP="00873154">
      <w:pPr>
        <w:ind w:firstLine="567"/>
        <w:jc w:val="both"/>
        <w:rPr>
          <w:iCs/>
          <w:sz w:val="28"/>
          <w:szCs w:val="28"/>
        </w:rPr>
      </w:pPr>
      <w:r>
        <w:rPr>
          <w:iCs/>
          <w:sz w:val="28"/>
          <w:szCs w:val="28"/>
        </w:rPr>
        <w:t>«Проведение оперативного (текущего) контроля за исполнением местного бюджета».</w:t>
      </w:r>
    </w:p>
    <w:p w:rsidR="000E2262" w:rsidRDefault="000E2262" w:rsidP="00873154">
      <w:pPr>
        <w:ind w:firstLine="567"/>
        <w:jc w:val="both"/>
        <w:rPr>
          <w:iCs/>
          <w:sz w:val="28"/>
          <w:szCs w:val="28"/>
        </w:rPr>
      </w:pPr>
      <w:r>
        <w:rPr>
          <w:iCs/>
          <w:sz w:val="28"/>
          <w:szCs w:val="28"/>
        </w:rPr>
        <w:t>«Экспертиза проекта бюджета на очередной финансовый год и плановый период».</w:t>
      </w:r>
    </w:p>
    <w:p w:rsidR="000E2262" w:rsidRDefault="000E2262" w:rsidP="00873154">
      <w:pPr>
        <w:ind w:firstLine="567"/>
        <w:jc w:val="both"/>
        <w:rPr>
          <w:iCs/>
          <w:sz w:val="28"/>
          <w:szCs w:val="28"/>
        </w:rPr>
      </w:pPr>
      <w:r>
        <w:rPr>
          <w:iCs/>
          <w:sz w:val="28"/>
          <w:szCs w:val="28"/>
        </w:rPr>
        <w:t>«Проведение аудита эффективности использования муниципальных средств».</w:t>
      </w:r>
    </w:p>
    <w:p w:rsidR="000E2262" w:rsidRDefault="000E2262" w:rsidP="00873154">
      <w:pPr>
        <w:ind w:firstLine="567"/>
        <w:jc w:val="both"/>
        <w:rPr>
          <w:iCs/>
          <w:sz w:val="28"/>
          <w:szCs w:val="28"/>
        </w:rPr>
      </w:pPr>
      <w:r>
        <w:rPr>
          <w:iCs/>
          <w:sz w:val="28"/>
          <w:szCs w:val="28"/>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p w:rsidR="000E2262" w:rsidRDefault="000E2262" w:rsidP="00873154">
      <w:pPr>
        <w:ind w:firstLine="567"/>
        <w:jc w:val="both"/>
        <w:rPr>
          <w:iCs/>
          <w:sz w:val="28"/>
          <w:szCs w:val="28"/>
        </w:rPr>
      </w:pPr>
      <w:r>
        <w:rPr>
          <w:iCs/>
          <w:sz w:val="28"/>
          <w:szCs w:val="28"/>
        </w:rPr>
        <w:t>«Проведение аудита в сфере закупок товаров, работ, услуг».</w:t>
      </w:r>
    </w:p>
    <w:p w:rsidR="000E2262" w:rsidRDefault="000E2262" w:rsidP="00873154">
      <w:pPr>
        <w:ind w:firstLine="567"/>
        <w:jc w:val="both"/>
        <w:rPr>
          <w:iCs/>
          <w:sz w:val="28"/>
          <w:szCs w:val="28"/>
        </w:rPr>
      </w:pPr>
      <w:r>
        <w:rPr>
          <w:iCs/>
          <w:sz w:val="28"/>
          <w:szCs w:val="28"/>
        </w:rPr>
        <w:t>«Контроль реализации результатов контрольных и экспертно-аналитических мероприятий».</w:t>
      </w:r>
    </w:p>
    <w:p w:rsidR="000E2262" w:rsidRDefault="000E2262" w:rsidP="00873154">
      <w:pPr>
        <w:ind w:firstLine="567"/>
        <w:jc w:val="both"/>
        <w:rPr>
          <w:iCs/>
          <w:sz w:val="28"/>
          <w:szCs w:val="28"/>
        </w:rPr>
      </w:pPr>
      <w:r>
        <w:rPr>
          <w:iCs/>
          <w:sz w:val="28"/>
          <w:szCs w:val="28"/>
        </w:rPr>
        <w:t>Для методологического обеспечения деятельности контрольно-ревизионной комиссии разработаны и утверждены:</w:t>
      </w:r>
    </w:p>
    <w:p w:rsidR="000E2262" w:rsidRDefault="000E2262" w:rsidP="00873154">
      <w:pPr>
        <w:ind w:firstLine="567"/>
        <w:jc w:val="both"/>
        <w:rPr>
          <w:rStyle w:val="FontStyle11"/>
          <w:b w:val="0"/>
          <w:bCs w:val="0"/>
          <w:sz w:val="28"/>
          <w:szCs w:val="28"/>
        </w:rPr>
      </w:pPr>
      <w:r>
        <w:rPr>
          <w:iCs/>
          <w:sz w:val="28"/>
          <w:szCs w:val="28"/>
        </w:rPr>
        <w:t>Методические рекомендации проведения экспертизы проектов муниципальных программ и аудита эффективности муниципальных программ.</w:t>
      </w:r>
    </w:p>
    <w:p w:rsidR="000E2262" w:rsidRDefault="000E2262" w:rsidP="00873154">
      <w:pPr>
        <w:ind w:firstLine="567"/>
        <w:jc w:val="both"/>
        <w:rPr>
          <w:rStyle w:val="FontStyle11"/>
          <w:b w:val="0"/>
          <w:bCs w:val="0"/>
          <w:sz w:val="28"/>
          <w:szCs w:val="28"/>
        </w:rPr>
      </w:pPr>
      <w:r>
        <w:rPr>
          <w:iCs/>
          <w:sz w:val="28"/>
          <w:szCs w:val="28"/>
        </w:rPr>
        <w:t>Методические рекомендации по проведению аудита в сфере закупок.</w:t>
      </w:r>
    </w:p>
    <w:p w:rsidR="000E2262" w:rsidRDefault="000E2262" w:rsidP="0087315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Среди районов области, где принято наибольшее количество стандартов, в отчете о работе Совета контрольно-счетных органов Вологодской области отмечен контрольно-счетный орган Кичменгско-Городецкого муниципального района.</w:t>
      </w:r>
    </w:p>
    <w:p w:rsidR="000E2262" w:rsidRDefault="000E2262" w:rsidP="00873154">
      <w:pPr>
        <w:autoSpaceDE w:val="0"/>
        <w:autoSpaceDN w:val="0"/>
        <w:adjustRightInd w:val="0"/>
        <w:ind w:firstLine="567"/>
        <w:jc w:val="both"/>
        <w:rPr>
          <w:sz w:val="28"/>
          <w:szCs w:val="28"/>
        </w:rPr>
      </w:pPr>
      <w:r>
        <w:rPr>
          <w:sz w:val="28"/>
          <w:szCs w:val="28"/>
        </w:rPr>
        <w:t>В отчетном периоде контрольно-ревизионной комиссией осуществлен весь комплекс контрольных и экспертно-аналитических мероприятий, предусмотренный планом работы. План 2020 года выполнен в полном объеме.</w:t>
      </w:r>
    </w:p>
    <w:p w:rsidR="000E2262" w:rsidRDefault="000E2262" w:rsidP="00873154">
      <w:pPr>
        <w:autoSpaceDE w:val="0"/>
        <w:autoSpaceDN w:val="0"/>
        <w:adjustRightInd w:val="0"/>
        <w:ind w:firstLine="567"/>
        <w:jc w:val="both"/>
        <w:rPr>
          <w:sz w:val="28"/>
          <w:szCs w:val="28"/>
        </w:rPr>
      </w:pPr>
      <w:r>
        <w:rPr>
          <w:sz w:val="28"/>
          <w:szCs w:val="28"/>
        </w:rPr>
        <w:t>План работы был сформирован исходя из необходимости обеспечения полноты реализации полномочий контрольно-ревизионной комиссии как органа внешнего муниципального финансового контроля.</w:t>
      </w:r>
    </w:p>
    <w:p w:rsidR="000E2262" w:rsidRDefault="000E2262" w:rsidP="00873154">
      <w:pPr>
        <w:autoSpaceDE w:val="0"/>
        <w:autoSpaceDN w:val="0"/>
        <w:adjustRightInd w:val="0"/>
        <w:ind w:firstLine="567"/>
        <w:jc w:val="both"/>
        <w:rPr>
          <w:sz w:val="28"/>
          <w:szCs w:val="28"/>
        </w:rPr>
      </w:pPr>
      <w:r>
        <w:rPr>
          <w:sz w:val="28"/>
          <w:szCs w:val="28"/>
        </w:rPr>
        <w:t>Исполнение плана работы позволило провести контрольные и экспертно-аналитические мероприятия в различных сферах деятельности органов местного самоуправления и бюджетных учреждений, выявить нарушения нормативных правовых актов, нарушения и недостатки при распоряжении и использовании бюджетных средств и муниципального имущества, а также принять необходимые меры для устранения, как самих нарушений, так и причин и условий, способствующих их совершению.</w:t>
      </w:r>
    </w:p>
    <w:p w:rsidR="000E2262" w:rsidRDefault="000E2262" w:rsidP="00873154">
      <w:pPr>
        <w:ind w:firstLine="567"/>
        <w:jc w:val="both"/>
        <w:rPr>
          <w:sz w:val="28"/>
          <w:szCs w:val="28"/>
        </w:rPr>
      </w:pPr>
      <w:r>
        <w:rPr>
          <w:sz w:val="28"/>
          <w:szCs w:val="28"/>
        </w:rPr>
        <w:t>В соответствии с планом работы КРК проведено 58 мероприятий, включая 7 контрольных и 51 экспертно-аналитическое мероприятие, в том числе на основании:</w:t>
      </w:r>
    </w:p>
    <w:p w:rsidR="000E2262" w:rsidRDefault="000E2262" w:rsidP="00873154">
      <w:pPr>
        <w:ind w:firstLine="567"/>
        <w:jc w:val="both"/>
        <w:rPr>
          <w:sz w:val="28"/>
          <w:szCs w:val="28"/>
        </w:rPr>
      </w:pPr>
      <w:r>
        <w:rPr>
          <w:sz w:val="28"/>
          <w:szCs w:val="28"/>
        </w:rPr>
        <w:t>положения о бюджетном процессе муниципального образования 51 экспертно-аналитическое мероприятие;</w:t>
      </w:r>
    </w:p>
    <w:p w:rsidR="000E2262" w:rsidRDefault="000E2262" w:rsidP="00873154">
      <w:pPr>
        <w:ind w:firstLine="567"/>
        <w:jc w:val="both"/>
        <w:rPr>
          <w:sz w:val="28"/>
          <w:szCs w:val="28"/>
        </w:rPr>
      </w:pPr>
      <w:r>
        <w:rPr>
          <w:sz w:val="28"/>
          <w:szCs w:val="28"/>
        </w:rPr>
        <w:lastRenderedPageBreak/>
        <w:t>поручений представительного органа муниципального образования 1 контрольное мероприятие;</w:t>
      </w:r>
    </w:p>
    <w:p w:rsidR="000E2262" w:rsidRDefault="000E2262" w:rsidP="00873154">
      <w:pPr>
        <w:ind w:firstLine="567"/>
        <w:jc w:val="both"/>
        <w:rPr>
          <w:sz w:val="28"/>
          <w:szCs w:val="28"/>
        </w:rPr>
      </w:pPr>
      <w:r>
        <w:rPr>
          <w:sz w:val="28"/>
          <w:szCs w:val="28"/>
        </w:rPr>
        <w:t>инициативы контрольно-счетного органа муниципального образования 6 контрольных мероприятий.</w:t>
      </w:r>
    </w:p>
    <w:p w:rsidR="000E2262" w:rsidRDefault="000E2262" w:rsidP="00873154">
      <w:pPr>
        <w:ind w:firstLine="567"/>
        <w:jc w:val="both"/>
        <w:rPr>
          <w:sz w:val="28"/>
          <w:szCs w:val="28"/>
        </w:rPr>
      </w:pPr>
      <w:r>
        <w:rPr>
          <w:sz w:val="28"/>
          <w:szCs w:val="28"/>
        </w:rPr>
        <w:t>В ходе проведения данных мероприятий выявлено 55 нарушений на сумму 3 306,6 тыс. рублей и 14 недостатков на сумму 1 035,2 тыс. рублей.</w:t>
      </w:r>
    </w:p>
    <w:p w:rsidR="000E2262" w:rsidRDefault="00873154" w:rsidP="00873154">
      <w:pPr>
        <w:tabs>
          <w:tab w:val="left" w:pos="851"/>
        </w:tabs>
        <w:jc w:val="both"/>
        <w:rPr>
          <w:rFonts w:eastAsiaTheme="minorHAnsi"/>
          <w:sz w:val="28"/>
          <w:szCs w:val="28"/>
          <w:lang w:eastAsia="en-US"/>
        </w:rPr>
      </w:pPr>
      <w:r>
        <w:rPr>
          <w:sz w:val="14"/>
          <w:szCs w:val="14"/>
        </w:rPr>
        <w:tab/>
      </w:r>
      <w:r w:rsidR="000E2262">
        <w:rPr>
          <w:sz w:val="28"/>
          <w:szCs w:val="28"/>
        </w:rPr>
        <w:t>Согласно рекомендациям КСП области, для соблюдения единого подхода при квалификации выявляемых в ходе осуществления внешнего муниципального финансового аудита (контроля) нарушений требований Бюджетного кодекса Российской Федерации, соответствующих законов (решений) о бюджетах бюджетной системы Российской Федерации и иных нормативных правовых актов контрольно-ревизионной комиссией применяется «Классификатор нарушений, выявляемых в ходе внешнего государственного аудита (контроля)» (далее – Классификатор), который одобрен Советом контрольно-счетных органов при Счетной палате Российской Федерации 17 декабря 2014 года, протокол № 2-СКСО, коллегией Счетной палаты РФ 18.12.2014 (ред. от 22.12.2015).</w:t>
      </w:r>
    </w:p>
    <w:p w:rsidR="000E2262" w:rsidRDefault="000E2262" w:rsidP="00873154">
      <w:pPr>
        <w:autoSpaceDE w:val="0"/>
        <w:autoSpaceDN w:val="0"/>
        <w:adjustRightInd w:val="0"/>
        <w:ind w:firstLine="567"/>
        <w:jc w:val="both"/>
        <w:rPr>
          <w:sz w:val="28"/>
          <w:szCs w:val="28"/>
        </w:rPr>
      </w:pPr>
      <w:r>
        <w:rPr>
          <w:sz w:val="28"/>
          <w:szCs w:val="28"/>
        </w:rPr>
        <w:t>В отчетном периоде контрольно-ревизионной комиссией максимально использовались все предоставленные действующим законодательством возможности по устранению негативных последствий финансовых нарушений.</w:t>
      </w:r>
    </w:p>
    <w:p w:rsidR="000E2262" w:rsidRDefault="000E2262" w:rsidP="00873154">
      <w:pPr>
        <w:autoSpaceDE w:val="0"/>
        <w:autoSpaceDN w:val="0"/>
        <w:adjustRightInd w:val="0"/>
        <w:ind w:firstLine="567"/>
        <w:jc w:val="both"/>
        <w:rPr>
          <w:sz w:val="28"/>
          <w:szCs w:val="28"/>
        </w:rPr>
      </w:pPr>
      <w:r>
        <w:rPr>
          <w:sz w:val="28"/>
          <w:szCs w:val="28"/>
        </w:rPr>
        <w:t>В зависимости от характера выявляемых нарушений и недостатков строилась направленная на их устранение работа, принимались соответствующие меры в рамках установленной компетенции и предоставленных полномочий.</w:t>
      </w:r>
    </w:p>
    <w:p w:rsidR="000E2262" w:rsidRDefault="000E2262" w:rsidP="00873154">
      <w:pPr>
        <w:outlineLvl w:val="2"/>
        <w:rPr>
          <w:bCs/>
          <w:sz w:val="14"/>
          <w:szCs w:val="14"/>
          <w:highlight w:val="yellow"/>
        </w:rPr>
      </w:pPr>
    </w:p>
    <w:p w:rsidR="000E2262" w:rsidRDefault="000E2262" w:rsidP="00873154">
      <w:pPr>
        <w:outlineLvl w:val="2"/>
        <w:rPr>
          <w:b/>
          <w:bCs/>
          <w:sz w:val="26"/>
          <w:szCs w:val="26"/>
        </w:rPr>
      </w:pPr>
      <w:r>
        <w:rPr>
          <w:b/>
          <w:bCs/>
          <w:sz w:val="26"/>
          <w:szCs w:val="26"/>
        </w:rPr>
        <w:t>2. Результаты контрольных мероприятий</w:t>
      </w:r>
    </w:p>
    <w:p w:rsidR="000E2262" w:rsidRDefault="000E2262" w:rsidP="00873154">
      <w:pPr>
        <w:ind w:firstLine="567"/>
        <w:jc w:val="both"/>
        <w:rPr>
          <w:sz w:val="14"/>
          <w:szCs w:val="14"/>
        </w:rPr>
      </w:pPr>
    </w:p>
    <w:p w:rsidR="000E2262" w:rsidRDefault="000E2262" w:rsidP="00873154">
      <w:pPr>
        <w:ind w:firstLine="567"/>
        <w:jc w:val="both"/>
        <w:rPr>
          <w:sz w:val="28"/>
          <w:szCs w:val="28"/>
        </w:rPr>
      </w:pPr>
      <w:r>
        <w:rPr>
          <w:sz w:val="28"/>
          <w:szCs w:val="28"/>
        </w:rPr>
        <w:t>В ходе контрольных мероприятий контрольно-ревизионная комиссия осуществляла контроль за законностью, результативностью использования средств районного бюджета и бюджетов сельских поселений, соблюдением установленного порядка управления и распоряжения имуществом, находящимся в муниципальной собственности.</w:t>
      </w:r>
    </w:p>
    <w:p w:rsidR="000E2262" w:rsidRDefault="000E2262" w:rsidP="00873154">
      <w:pPr>
        <w:ind w:firstLine="567"/>
        <w:jc w:val="both"/>
        <w:rPr>
          <w:sz w:val="28"/>
          <w:szCs w:val="28"/>
        </w:rPr>
      </w:pPr>
      <w:r>
        <w:rPr>
          <w:sz w:val="28"/>
          <w:szCs w:val="28"/>
        </w:rPr>
        <w:t>В соответствии с планом работы КРК района за отчетный год проведено 7 контрольных мероприятий, в ходе которых проверены 7 объектов с объемом бюджетных средств и стоимости имущества муниципальной собственности в сумме 47 682,2 тыс. рублей.</w:t>
      </w:r>
    </w:p>
    <w:p w:rsidR="000E2262" w:rsidRDefault="000E2262" w:rsidP="00873154">
      <w:pPr>
        <w:ind w:firstLine="567"/>
        <w:jc w:val="both"/>
        <w:rPr>
          <w:sz w:val="28"/>
          <w:szCs w:val="28"/>
        </w:rPr>
      </w:pPr>
      <w:r>
        <w:rPr>
          <w:sz w:val="28"/>
          <w:szCs w:val="28"/>
        </w:rPr>
        <w:t>Проведенными проверками выявлено 32 нарушения законодательства при планировании и использовании бюджетных средств и имущества на общую сумму 2 306,6 тыс. рублей, которые классифицированы по видам:</w:t>
      </w:r>
    </w:p>
    <w:p w:rsidR="000E2262" w:rsidRDefault="000E2262" w:rsidP="00873154">
      <w:pPr>
        <w:ind w:firstLine="567"/>
        <w:jc w:val="both"/>
        <w:rPr>
          <w:sz w:val="28"/>
          <w:szCs w:val="28"/>
        </w:rPr>
      </w:pPr>
      <w:r>
        <w:rPr>
          <w:sz w:val="28"/>
          <w:szCs w:val="28"/>
        </w:rPr>
        <w:t>- при формировании и исполнении бюджетов – 18 нарушений;</w:t>
      </w:r>
    </w:p>
    <w:p w:rsidR="000E2262" w:rsidRDefault="00873154" w:rsidP="00873154">
      <w:pPr>
        <w:ind w:firstLine="567"/>
        <w:jc w:val="both"/>
        <w:rPr>
          <w:sz w:val="28"/>
          <w:szCs w:val="28"/>
        </w:rPr>
      </w:pPr>
      <w:r>
        <w:rPr>
          <w:sz w:val="28"/>
          <w:szCs w:val="28"/>
        </w:rPr>
        <w:t>-</w:t>
      </w:r>
      <w:r w:rsidR="000E2262">
        <w:rPr>
          <w:sz w:val="28"/>
          <w:szCs w:val="28"/>
        </w:rPr>
        <w:t>ведения бухгалтерского учета, составления и представления бухгалтерской (финансовой) отчетности – 2 нарушения на сумму 179,4 тыс. рублей;</w:t>
      </w:r>
    </w:p>
    <w:p w:rsidR="000E2262" w:rsidRDefault="000E2262" w:rsidP="00873154">
      <w:pPr>
        <w:ind w:firstLine="567"/>
        <w:jc w:val="both"/>
        <w:rPr>
          <w:sz w:val="28"/>
          <w:szCs w:val="28"/>
        </w:rPr>
      </w:pPr>
      <w:r>
        <w:rPr>
          <w:sz w:val="28"/>
          <w:szCs w:val="28"/>
        </w:rPr>
        <w:t>- при осуществлении муниципальных закупок и закупок отдельными видами юридических лиц – 12 нарушений на сумму 2 127,2 тыс. рублей.</w:t>
      </w:r>
    </w:p>
    <w:p w:rsidR="000E2262" w:rsidRDefault="000E2262" w:rsidP="00873154">
      <w:pPr>
        <w:ind w:firstLine="567"/>
        <w:jc w:val="both"/>
        <w:rPr>
          <w:sz w:val="28"/>
          <w:szCs w:val="28"/>
        </w:rPr>
      </w:pPr>
      <w:r>
        <w:rPr>
          <w:sz w:val="28"/>
          <w:szCs w:val="28"/>
        </w:rPr>
        <w:lastRenderedPageBreak/>
        <w:t>В общем количестве нарушений удельный вес занимают: нарушения при формировании и исполнении бюджетов – 56,2%; при осуществлении муниципальных закупок – 37,5%; при ведении бухгалтерского учета, составления и представления бухгалтерской (финансовой) отчетности – 6,3%.</w:t>
      </w:r>
    </w:p>
    <w:p w:rsidR="000E2262" w:rsidRDefault="000E2262" w:rsidP="00873154">
      <w:pPr>
        <w:ind w:firstLine="567"/>
        <w:jc w:val="both"/>
        <w:rPr>
          <w:sz w:val="28"/>
          <w:szCs w:val="28"/>
        </w:rPr>
      </w:pPr>
      <w:r>
        <w:rPr>
          <w:sz w:val="28"/>
          <w:szCs w:val="28"/>
        </w:rPr>
        <w:t>В ходе практического использования Классификатора выявленные нарушения при проведении контрольных мероприятий по кодам нарушений выглядят таким образом:</w:t>
      </w:r>
    </w:p>
    <w:p w:rsidR="000E2262" w:rsidRDefault="000E2262" w:rsidP="000E2262">
      <w:pPr>
        <w:ind w:firstLine="567"/>
        <w:jc w:val="both"/>
        <w:rPr>
          <w:sz w:val="14"/>
          <w:szCs w:val="14"/>
        </w:rPr>
      </w:pPr>
    </w:p>
    <w:tbl>
      <w:tblPr>
        <w:tblW w:w="9298" w:type="dxa"/>
        <w:tblInd w:w="94" w:type="dxa"/>
        <w:tblLook w:val="04A0"/>
      </w:tblPr>
      <w:tblGrid>
        <w:gridCol w:w="7087"/>
        <w:gridCol w:w="907"/>
        <w:gridCol w:w="1304"/>
      </w:tblGrid>
      <w:tr w:rsidR="000E2262" w:rsidTr="000E2262">
        <w:trPr>
          <w:trHeight w:val="510"/>
        </w:trPr>
        <w:tc>
          <w:tcPr>
            <w:tcW w:w="7087" w:type="dxa"/>
            <w:tcBorders>
              <w:top w:val="single" w:sz="4" w:space="0" w:color="auto"/>
              <w:left w:val="single" w:sz="4" w:space="0" w:color="auto"/>
              <w:bottom w:val="single" w:sz="4" w:space="0" w:color="auto"/>
              <w:right w:val="single" w:sz="4" w:space="0" w:color="auto"/>
            </w:tcBorders>
            <w:vAlign w:val="center"/>
            <w:hideMark/>
          </w:tcPr>
          <w:p w:rsidR="000E2262" w:rsidRDefault="000E2262">
            <w:pPr>
              <w:jc w:val="center"/>
              <w:rPr>
                <w:color w:val="000000"/>
              </w:rPr>
            </w:pPr>
            <w:r>
              <w:rPr>
                <w:color w:val="000000"/>
              </w:rPr>
              <w:t>Код нарушения</w:t>
            </w:r>
          </w:p>
        </w:tc>
        <w:tc>
          <w:tcPr>
            <w:tcW w:w="907" w:type="dxa"/>
            <w:tcBorders>
              <w:top w:val="single" w:sz="4" w:space="0" w:color="auto"/>
              <w:left w:val="nil"/>
              <w:bottom w:val="single" w:sz="4" w:space="0" w:color="auto"/>
              <w:right w:val="single" w:sz="4" w:space="0" w:color="auto"/>
            </w:tcBorders>
            <w:vAlign w:val="center"/>
            <w:hideMark/>
          </w:tcPr>
          <w:p w:rsidR="000E2262" w:rsidRDefault="000E2262">
            <w:pPr>
              <w:jc w:val="center"/>
              <w:rPr>
                <w:color w:val="000000"/>
              </w:rPr>
            </w:pPr>
            <w:proofErr w:type="spellStart"/>
            <w:r>
              <w:rPr>
                <w:color w:val="000000"/>
              </w:rPr>
              <w:t>Коли-чество</w:t>
            </w:r>
            <w:proofErr w:type="spellEnd"/>
          </w:p>
        </w:tc>
        <w:tc>
          <w:tcPr>
            <w:tcW w:w="1304" w:type="dxa"/>
            <w:tcBorders>
              <w:top w:val="single" w:sz="4" w:space="0" w:color="auto"/>
              <w:left w:val="nil"/>
              <w:bottom w:val="single" w:sz="4" w:space="0" w:color="auto"/>
              <w:right w:val="single" w:sz="4" w:space="0" w:color="auto"/>
            </w:tcBorders>
            <w:vAlign w:val="center"/>
            <w:hideMark/>
          </w:tcPr>
          <w:p w:rsidR="000E2262" w:rsidRDefault="000E2262">
            <w:pPr>
              <w:jc w:val="center"/>
              <w:rPr>
                <w:color w:val="000000"/>
              </w:rPr>
            </w:pPr>
            <w:r>
              <w:rPr>
                <w:color w:val="000000"/>
              </w:rPr>
              <w:t>тыс. рублей</w:t>
            </w:r>
          </w:p>
        </w:tc>
      </w:tr>
      <w:tr w:rsidR="000E2262" w:rsidTr="000E2262">
        <w:trPr>
          <w:trHeight w:val="900"/>
        </w:trPr>
        <w:tc>
          <w:tcPr>
            <w:tcW w:w="7087" w:type="dxa"/>
            <w:tcBorders>
              <w:top w:val="single" w:sz="4" w:space="0" w:color="auto"/>
              <w:left w:val="single" w:sz="4" w:space="0" w:color="auto"/>
              <w:bottom w:val="single" w:sz="4" w:space="0" w:color="auto"/>
              <w:right w:val="single" w:sz="4" w:space="0" w:color="auto"/>
            </w:tcBorders>
            <w:vAlign w:val="bottom"/>
            <w:hideMark/>
          </w:tcPr>
          <w:p w:rsidR="000E2262" w:rsidRDefault="000E2262">
            <w:pPr>
              <w:rPr>
                <w:color w:val="000000"/>
              </w:rPr>
            </w:pPr>
            <w:r>
              <w:rPr>
                <w:color w:val="000000"/>
              </w:rPr>
              <w:t>1.2.96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907" w:type="dxa"/>
            <w:tcBorders>
              <w:top w:val="single" w:sz="4" w:space="0" w:color="auto"/>
              <w:left w:val="nil"/>
              <w:bottom w:val="single" w:sz="4" w:space="0" w:color="auto"/>
              <w:right w:val="single" w:sz="4" w:space="0" w:color="auto"/>
            </w:tcBorders>
            <w:vAlign w:val="bottom"/>
            <w:hideMark/>
          </w:tcPr>
          <w:p w:rsidR="000E2262" w:rsidRDefault="000E2262">
            <w:pPr>
              <w:jc w:val="center"/>
              <w:rPr>
                <w:color w:val="000000"/>
              </w:rPr>
            </w:pPr>
            <w:r>
              <w:rPr>
                <w:color w:val="000000"/>
              </w:rPr>
              <w:t>18</w:t>
            </w:r>
          </w:p>
        </w:tc>
        <w:tc>
          <w:tcPr>
            <w:tcW w:w="1304" w:type="dxa"/>
            <w:tcBorders>
              <w:top w:val="single" w:sz="4" w:space="0" w:color="auto"/>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r w:rsidR="000E2262" w:rsidTr="000E2262">
        <w:trPr>
          <w:trHeight w:val="600"/>
        </w:trPr>
        <w:tc>
          <w:tcPr>
            <w:tcW w:w="7087" w:type="dxa"/>
            <w:tcBorders>
              <w:top w:val="nil"/>
              <w:left w:val="single" w:sz="4" w:space="0" w:color="auto"/>
              <w:bottom w:val="single" w:sz="4" w:space="0" w:color="auto"/>
              <w:right w:val="single" w:sz="4" w:space="0" w:color="auto"/>
            </w:tcBorders>
            <w:vAlign w:val="bottom"/>
            <w:hideMark/>
          </w:tcPr>
          <w:p w:rsidR="000E2262" w:rsidRDefault="000E2262">
            <w:pPr>
              <w:rPr>
                <w:color w:val="000000"/>
              </w:rPr>
            </w:pPr>
            <w:r>
              <w:rPr>
                <w:color w:val="000000"/>
              </w:rPr>
              <w:t>2.2 Нарушение требований, предъявляемых к оформлению фактов хозяйственной жизни экономического объекта первичными учетными документами.</w:t>
            </w:r>
          </w:p>
        </w:tc>
        <w:tc>
          <w:tcPr>
            <w:tcW w:w="907"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1</w:t>
            </w:r>
          </w:p>
        </w:tc>
        <w:tc>
          <w:tcPr>
            <w:tcW w:w="1304"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179,4</w:t>
            </w:r>
          </w:p>
        </w:tc>
      </w:tr>
      <w:tr w:rsidR="000E2262" w:rsidTr="000E2262">
        <w:trPr>
          <w:trHeight w:val="600"/>
        </w:trPr>
        <w:tc>
          <w:tcPr>
            <w:tcW w:w="7087" w:type="dxa"/>
            <w:tcBorders>
              <w:top w:val="nil"/>
              <w:left w:val="single" w:sz="4" w:space="0" w:color="auto"/>
              <w:bottom w:val="single" w:sz="4" w:space="0" w:color="auto"/>
              <w:right w:val="single" w:sz="4" w:space="0" w:color="auto"/>
            </w:tcBorders>
            <w:vAlign w:val="bottom"/>
            <w:hideMark/>
          </w:tcPr>
          <w:p w:rsidR="000E2262" w:rsidRDefault="000E2262">
            <w:pPr>
              <w:rPr>
                <w:color w:val="000000"/>
              </w:rPr>
            </w:pPr>
            <w:r>
              <w:rPr>
                <w:color w:val="000000"/>
              </w:rPr>
              <w:t>2.4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p>
        </w:tc>
        <w:tc>
          <w:tcPr>
            <w:tcW w:w="907"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1</w:t>
            </w:r>
          </w:p>
        </w:tc>
        <w:tc>
          <w:tcPr>
            <w:tcW w:w="1304" w:type="dxa"/>
            <w:tcBorders>
              <w:top w:val="nil"/>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r w:rsidR="000E2262" w:rsidTr="000E2262">
        <w:trPr>
          <w:trHeight w:val="1500"/>
        </w:trPr>
        <w:tc>
          <w:tcPr>
            <w:tcW w:w="7087" w:type="dxa"/>
            <w:tcBorders>
              <w:top w:val="nil"/>
              <w:left w:val="single" w:sz="4" w:space="0" w:color="auto"/>
              <w:bottom w:val="nil"/>
              <w:right w:val="single" w:sz="4" w:space="0" w:color="auto"/>
            </w:tcBorders>
            <w:noWrap/>
            <w:vAlign w:val="bottom"/>
            <w:hideMark/>
          </w:tcPr>
          <w:p w:rsidR="000E2262" w:rsidRDefault="000E2262">
            <w:pPr>
              <w:rPr>
                <w:color w:val="000000"/>
              </w:rPr>
            </w:pPr>
            <w:r>
              <w:rPr>
                <w:color w:val="000000"/>
              </w:rPr>
              <w:t>4.5 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907"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2</w:t>
            </w:r>
          </w:p>
        </w:tc>
        <w:tc>
          <w:tcPr>
            <w:tcW w:w="1304" w:type="dxa"/>
            <w:tcBorders>
              <w:top w:val="nil"/>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r w:rsidR="000E2262" w:rsidTr="000E2262">
        <w:trPr>
          <w:trHeight w:val="630"/>
        </w:trPr>
        <w:tc>
          <w:tcPr>
            <w:tcW w:w="7087" w:type="dxa"/>
            <w:tcBorders>
              <w:top w:val="single" w:sz="4" w:space="0" w:color="auto"/>
              <w:left w:val="single" w:sz="4" w:space="0" w:color="auto"/>
              <w:bottom w:val="single" w:sz="4" w:space="0" w:color="auto"/>
              <w:right w:val="single" w:sz="4" w:space="0" w:color="auto"/>
            </w:tcBorders>
            <w:vAlign w:val="bottom"/>
            <w:hideMark/>
          </w:tcPr>
          <w:p w:rsidR="000E2262" w:rsidRDefault="000E2262">
            <w:pPr>
              <w:rPr>
                <w:color w:val="000000"/>
              </w:rPr>
            </w:pPr>
            <w:r>
              <w:rPr>
                <w:color w:val="000000"/>
              </w:rPr>
              <w:t>4.44 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907"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6</w:t>
            </w:r>
          </w:p>
        </w:tc>
        <w:tc>
          <w:tcPr>
            <w:tcW w:w="1304"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2 127,2</w:t>
            </w:r>
          </w:p>
        </w:tc>
      </w:tr>
      <w:tr w:rsidR="000E2262" w:rsidTr="000E2262">
        <w:trPr>
          <w:trHeight w:val="1260"/>
        </w:trPr>
        <w:tc>
          <w:tcPr>
            <w:tcW w:w="7087" w:type="dxa"/>
            <w:tcBorders>
              <w:top w:val="nil"/>
              <w:left w:val="single" w:sz="4" w:space="0" w:color="auto"/>
              <w:bottom w:val="single" w:sz="4" w:space="0" w:color="auto"/>
              <w:right w:val="single" w:sz="4" w:space="0" w:color="auto"/>
            </w:tcBorders>
            <w:vAlign w:val="bottom"/>
            <w:hideMark/>
          </w:tcPr>
          <w:p w:rsidR="000E2262" w:rsidRDefault="000E2262">
            <w:pPr>
              <w:rPr>
                <w:color w:val="000000"/>
              </w:rPr>
            </w:pPr>
            <w:r>
              <w:rPr>
                <w:color w:val="000000"/>
              </w:rPr>
              <w:t>4.53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907"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4</w:t>
            </w:r>
          </w:p>
        </w:tc>
        <w:tc>
          <w:tcPr>
            <w:tcW w:w="1304" w:type="dxa"/>
            <w:tcBorders>
              <w:top w:val="nil"/>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r w:rsidR="000E2262" w:rsidTr="000E2262">
        <w:trPr>
          <w:trHeight w:val="315"/>
        </w:trPr>
        <w:tc>
          <w:tcPr>
            <w:tcW w:w="7087" w:type="dxa"/>
            <w:tcBorders>
              <w:top w:val="nil"/>
              <w:left w:val="single" w:sz="4" w:space="0" w:color="auto"/>
              <w:bottom w:val="single" w:sz="4" w:space="0" w:color="auto"/>
              <w:right w:val="single" w:sz="4" w:space="0" w:color="auto"/>
            </w:tcBorders>
            <w:hideMark/>
          </w:tcPr>
          <w:p w:rsidR="000E2262" w:rsidRDefault="000E2262">
            <w:pPr>
              <w:jc w:val="center"/>
              <w:rPr>
                <w:bCs/>
                <w:iCs/>
                <w:color w:val="000000"/>
              </w:rPr>
            </w:pPr>
            <w:r>
              <w:rPr>
                <w:bCs/>
                <w:iCs/>
                <w:color w:val="000000"/>
              </w:rPr>
              <w:t>ИТОГО по контрольным мероприятиям</w:t>
            </w:r>
          </w:p>
        </w:tc>
        <w:tc>
          <w:tcPr>
            <w:tcW w:w="907" w:type="dxa"/>
            <w:tcBorders>
              <w:top w:val="nil"/>
              <w:left w:val="nil"/>
              <w:bottom w:val="single" w:sz="4" w:space="0" w:color="auto"/>
              <w:right w:val="single" w:sz="4" w:space="0" w:color="auto"/>
            </w:tcBorders>
            <w:vAlign w:val="bottom"/>
            <w:hideMark/>
          </w:tcPr>
          <w:p w:rsidR="000E2262" w:rsidRDefault="000E2262">
            <w:pPr>
              <w:jc w:val="center"/>
              <w:rPr>
                <w:bCs/>
                <w:iCs/>
                <w:color w:val="000000"/>
              </w:rPr>
            </w:pPr>
            <w:r>
              <w:rPr>
                <w:bCs/>
                <w:iCs/>
                <w:color w:val="000000"/>
              </w:rPr>
              <w:t>32</w:t>
            </w:r>
          </w:p>
        </w:tc>
        <w:tc>
          <w:tcPr>
            <w:tcW w:w="1304" w:type="dxa"/>
            <w:tcBorders>
              <w:top w:val="nil"/>
              <w:left w:val="nil"/>
              <w:bottom w:val="single" w:sz="4" w:space="0" w:color="auto"/>
              <w:right w:val="single" w:sz="4" w:space="0" w:color="auto"/>
            </w:tcBorders>
            <w:vAlign w:val="bottom"/>
            <w:hideMark/>
          </w:tcPr>
          <w:p w:rsidR="000E2262" w:rsidRDefault="000E2262">
            <w:pPr>
              <w:jc w:val="center"/>
              <w:rPr>
                <w:bCs/>
                <w:iCs/>
                <w:color w:val="000000"/>
              </w:rPr>
            </w:pPr>
            <w:r>
              <w:rPr>
                <w:bCs/>
                <w:iCs/>
                <w:color w:val="000000"/>
              </w:rPr>
              <w:t>2 306,6</w:t>
            </w:r>
          </w:p>
        </w:tc>
      </w:tr>
    </w:tbl>
    <w:p w:rsidR="000E2262" w:rsidRDefault="000E2262" w:rsidP="000E2262">
      <w:pPr>
        <w:ind w:firstLine="567"/>
        <w:jc w:val="both"/>
        <w:rPr>
          <w:sz w:val="14"/>
          <w:szCs w:val="14"/>
        </w:rPr>
      </w:pPr>
    </w:p>
    <w:p w:rsidR="000E2262" w:rsidRPr="00873154" w:rsidRDefault="000E2262" w:rsidP="00873154">
      <w:pPr>
        <w:ind w:firstLine="567"/>
        <w:jc w:val="both"/>
        <w:rPr>
          <w:sz w:val="28"/>
          <w:szCs w:val="28"/>
        </w:rPr>
      </w:pPr>
      <w:r>
        <w:rPr>
          <w:sz w:val="28"/>
          <w:szCs w:val="28"/>
        </w:rPr>
        <w:t>Кроме того, в ходе контрольных мероприятий выявлено 10 недостатков на общую сумму 1 024,9 тыс. рублей, все относятся к несоответствию принципа результативности и эффективности использования бюджетных средств.</w:t>
      </w:r>
    </w:p>
    <w:p w:rsidR="00873154" w:rsidRDefault="000E2262" w:rsidP="00873154">
      <w:pPr>
        <w:ind w:firstLine="567"/>
        <w:jc w:val="both"/>
        <w:rPr>
          <w:sz w:val="28"/>
          <w:szCs w:val="28"/>
        </w:rPr>
      </w:pPr>
      <w:r>
        <w:rPr>
          <w:sz w:val="28"/>
          <w:szCs w:val="28"/>
        </w:rPr>
        <w:t>Руководителям проверенных организаций направлено 4 представления, в которых содержалось 14 предложений по устранению выявленных недостатков и нарушений финансовой дисциплины, действующего законодательства.</w:t>
      </w:r>
    </w:p>
    <w:p w:rsidR="000E2262" w:rsidRPr="00873154" w:rsidRDefault="000E2262" w:rsidP="00873154">
      <w:pPr>
        <w:ind w:firstLine="567"/>
        <w:jc w:val="both"/>
        <w:rPr>
          <w:sz w:val="28"/>
          <w:szCs w:val="28"/>
        </w:rPr>
      </w:pPr>
      <w:r>
        <w:rPr>
          <w:sz w:val="28"/>
          <w:szCs w:val="28"/>
        </w:rPr>
        <w:lastRenderedPageBreak/>
        <w:t>По результатам рассмотрения представлений контрольно-ревизионной комиссии проверенными объектами приняты планы мероприятий по устранению и предупреждению нарушений, в соответствии с которыми выявленные проверкой нарушения устранены.</w:t>
      </w:r>
    </w:p>
    <w:p w:rsidR="000E2262" w:rsidRDefault="000E2262" w:rsidP="000E2262">
      <w:pPr>
        <w:autoSpaceDE w:val="0"/>
        <w:autoSpaceDN w:val="0"/>
        <w:adjustRightInd w:val="0"/>
        <w:ind w:firstLine="567"/>
        <w:jc w:val="both"/>
        <w:rPr>
          <w:sz w:val="28"/>
          <w:szCs w:val="28"/>
        </w:rPr>
      </w:pPr>
      <w:r>
        <w:rPr>
          <w:sz w:val="28"/>
          <w:szCs w:val="28"/>
        </w:rPr>
        <w:t>Выполнены (приняты к исполнению) все предложения.</w:t>
      </w:r>
    </w:p>
    <w:p w:rsidR="000E2262" w:rsidRDefault="000E2262" w:rsidP="000E2262">
      <w:pPr>
        <w:autoSpaceDE w:val="0"/>
        <w:autoSpaceDN w:val="0"/>
        <w:adjustRightInd w:val="0"/>
        <w:ind w:firstLine="567"/>
        <w:jc w:val="both"/>
        <w:rPr>
          <w:sz w:val="28"/>
          <w:szCs w:val="28"/>
        </w:rPr>
      </w:pPr>
      <w:r>
        <w:rPr>
          <w:sz w:val="28"/>
          <w:szCs w:val="28"/>
        </w:rPr>
        <w:t xml:space="preserve">Кроме того, приняты меры по недопущению нарушений в дальнейшем: разработаны и приняты соответствующие нормативные правовые акты, приведены в порядок бухгалтерский учет и отчетность, </w:t>
      </w:r>
      <w:r>
        <w:rPr>
          <w:rFonts w:ascii="Times New Roman CYR" w:hAnsi="Times New Roman CYR" w:cs="Times New Roman CYR"/>
          <w:sz w:val="28"/>
          <w:szCs w:val="28"/>
        </w:rPr>
        <w:t>в целях приведения в соответствие с действующим законодательством</w:t>
      </w:r>
      <w:r>
        <w:rPr>
          <w:sz w:val="28"/>
          <w:szCs w:val="28"/>
        </w:rPr>
        <w:t xml:space="preserve"> внесены изменения в локальные нормативные акты.</w:t>
      </w:r>
    </w:p>
    <w:p w:rsidR="000E2262" w:rsidRDefault="000E2262" w:rsidP="000E2262">
      <w:pPr>
        <w:ind w:firstLine="567"/>
        <w:jc w:val="both"/>
        <w:rPr>
          <w:sz w:val="28"/>
          <w:szCs w:val="28"/>
        </w:rPr>
      </w:pPr>
      <w:r>
        <w:rPr>
          <w:sz w:val="28"/>
          <w:szCs w:val="28"/>
        </w:rPr>
        <w:t>В рамках соглашения, заключенного контрольно-ревизионной комиссией с прокуратурой района, проводилась и проводится постоянная работа по выявлению и пресечению правонарушений в финансово-бюджетной сфере.</w:t>
      </w:r>
    </w:p>
    <w:p w:rsidR="000E2262" w:rsidRDefault="000E2262" w:rsidP="000E2262">
      <w:pPr>
        <w:ind w:firstLine="567"/>
        <w:jc w:val="both"/>
        <w:rPr>
          <w:sz w:val="28"/>
          <w:szCs w:val="28"/>
        </w:rPr>
      </w:pPr>
      <w:r>
        <w:rPr>
          <w:sz w:val="28"/>
          <w:szCs w:val="28"/>
        </w:rPr>
        <w:t>В 2020 году все материалы контрольных мероприятий направлены в прокуратуру района. Если требовалась правовая оценка выявленных нарушений и были основания для принятия мер прокурорского реагирования, таковые меры по фактам нарушения законодательства надзорным органом применялись.</w:t>
      </w:r>
    </w:p>
    <w:p w:rsidR="000E2262" w:rsidRDefault="000E2262" w:rsidP="000E2262">
      <w:pPr>
        <w:ind w:firstLine="567"/>
        <w:jc w:val="both"/>
        <w:rPr>
          <w:sz w:val="28"/>
          <w:szCs w:val="28"/>
        </w:rPr>
      </w:pPr>
    </w:p>
    <w:p w:rsidR="000E2262" w:rsidRDefault="000E2262" w:rsidP="000E2262">
      <w:pPr>
        <w:outlineLvl w:val="2"/>
        <w:rPr>
          <w:b/>
          <w:bCs/>
          <w:sz w:val="26"/>
          <w:szCs w:val="26"/>
        </w:rPr>
      </w:pPr>
      <w:r>
        <w:rPr>
          <w:b/>
          <w:bCs/>
          <w:sz w:val="26"/>
          <w:szCs w:val="26"/>
        </w:rPr>
        <w:t>3. Результаты экспертно-аналитических мероприятий</w:t>
      </w:r>
    </w:p>
    <w:p w:rsidR="000E2262" w:rsidRDefault="000E2262" w:rsidP="000E2262">
      <w:pPr>
        <w:outlineLvl w:val="2"/>
        <w:rPr>
          <w:bCs/>
          <w:sz w:val="14"/>
          <w:szCs w:val="14"/>
          <w:highlight w:val="yellow"/>
        </w:rPr>
      </w:pPr>
    </w:p>
    <w:p w:rsidR="000E2262" w:rsidRPr="00873154" w:rsidRDefault="000E2262" w:rsidP="00873154">
      <w:pPr>
        <w:ind w:firstLine="567"/>
        <w:jc w:val="both"/>
        <w:rPr>
          <w:sz w:val="28"/>
          <w:szCs w:val="28"/>
        </w:rPr>
      </w:pPr>
      <w:r>
        <w:rPr>
          <w:sz w:val="28"/>
          <w:szCs w:val="28"/>
        </w:rPr>
        <w:t>Экспертно-аналитическое направление деятельности осуществлялось КРК района в соответствии с положениями бюджетного законодательства и Положением о контрольно-ревизионной комиссии путем проведения экспертизы проектов нормативных правовых актов муниципальных образований района, анализа отчетных и иных данных.</w:t>
      </w:r>
    </w:p>
    <w:p w:rsidR="000E2262" w:rsidRDefault="000E2262" w:rsidP="000E2262">
      <w:pPr>
        <w:ind w:firstLine="567"/>
        <w:jc w:val="both"/>
        <w:rPr>
          <w:sz w:val="28"/>
          <w:szCs w:val="28"/>
        </w:rPr>
      </w:pPr>
      <w:r>
        <w:rPr>
          <w:sz w:val="28"/>
          <w:szCs w:val="28"/>
        </w:rPr>
        <w:t>По результатам экспертно-аналитических мероприятий, проведенных в 2020 году, по 8 объектам ЭАМ подготовлено 51 заключение, в том числе:</w:t>
      </w:r>
    </w:p>
    <w:p w:rsidR="000E2262" w:rsidRDefault="000E2262" w:rsidP="000E2262">
      <w:pPr>
        <w:ind w:firstLine="567"/>
        <w:jc w:val="both"/>
        <w:rPr>
          <w:sz w:val="28"/>
          <w:szCs w:val="28"/>
        </w:rPr>
      </w:pPr>
      <w:r>
        <w:rPr>
          <w:sz w:val="28"/>
          <w:szCs w:val="28"/>
        </w:rPr>
        <w:t>30 заключений на проекты решений о местном бюджете и внесении изменений в бюджет;</w:t>
      </w:r>
    </w:p>
    <w:p w:rsidR="000E2262" w:rsidRDefault="000E2262" w:rsidP="000E2262">
      <w:pPr>
        <w:ind w:firstLine="567"/>
        <w:jc w:val="both"/>
        <w:rPr>
          <w:sz w:val="28"/>
          <w:szCs w:val="28"/>
        </w:rPr>
      </w:pPr>
      <w:r>
        <w:rPr>
          <w:sz w:val="28"/>
          <w:szCs w:val="28"/>
        </w:rPr>
        <w:t xml:space="preserve">12 заключений по анализу исполнения бюджета за </w:t>
      </w:r>
      <w:r>
        <w:rPr>
          <w:sz w:val="28"/>
          <w:szCs w:val="28"/>
          <w:lang w:val="en-US"/>
        </w:rPr>
        <w:t>I</w:t>
      </w:r>
      <w:r w:rsidRPr="000E2262">
        <w:rPr>
          <w:sz w:val="28"/>
          <w:szCs w:val="28"/>
        </w:rPr>
        <w:t xml:space="preserve"> </w:t>
      </w:r>
      <w:r>
        <w:rPr>
          <w:sz w:val="28"/>
          <w:szCs w:val="28"/>
        </w:rPr>
        <w:t>квартал, полугодие и 9 месяцев;</w:t>
      </w:r>
    </w:p>
    <w:p w:rsidR="000E2262" w:rsidRDefault="000E2262" w:rsidP="000E2262">
      <w:pPr>
        <w:ind w:firstLine="567"/>
        <w:jc w:val="both"/>
        <w:rPr>
          <w:sz w:val="28"/>
          <w:szCs w:val="28"/>
        </w:rPr>
      </w:pPr>
      <w:r>
        <w:rPr>
          <w:sz w:val="28"/>
          <w:szCs w:val="28"/>
        </w:rPr>
        <w:t>4 – по подготовке заключения на годовой отчет об исполнении местного бюджета;</w:t>
      </w:r>
    </w:p>
    <w:p w:rsidR="000E2262" w:rsidRDefault="000E2262" w:rsidP="000E2262">
      <w:pPr>
        <w:ind w:firstLine="567"/>
        <w:jc w:val="both"/>
        <w:rPr>
          <w:sz w:val="28"/>
          <w:szCs w:val="28"/>
        </w:rPr>
      </w:pPr>
      <w:r>
        <w:rPr>
          <w:sz w:val="28"/>
          <w:szCs w:val="28"/>
        </w:rPr>
        <w:t>5 заключений по проверке годовой бюджетной отчетности главных администраторов бюджетных средств.</w:t>
      </w:r>
    </w:p>
    <w:p w:rsidR="000E2262" w:rsidRDefault="000E2262" w:rsidP="000E2262">
      <w:pPr>
        <w:ind w:firstLine="567"/>
        <w:jc w:val="both"/>
        <w:rPr>
          <w:sz w:val="28"/>
          <w:szCs w:val="28"/>
        </w:rPr>
      </w:pPr>
      <w:r>
        <w:rPr>
          <w:sz w:val="28"/>
          <w:szCs w:val="28"/>
        </w:rPr>
        <w:t>По результатам экспертно-аналитических мероприятий установлено 23 нарушения законодательства и муниципальных нормативных правовых, все они отнесены к категории «при формировании и исполнении бюджетов».</w:t>
      </w:r>
    </w:p>
    <w:p w:rsidR="000E2262" w:rsidRDefault="000E2262" w:rsidP="000E2262">
      <w:pPr>
        <w:ind w:firstLine="567"/>
        <w:jc w:val="both"/>
        <w:rPr>
          <w:sz w:val="28"/>
          <w:szCs w:val="28"/>
        </w:rPr>
      </w:pPr>
      <w:r>
        <w:rPr>
          <w:sz w:val="28"/>
          <w:szCs w:val="28"/>
        </w:rPr>
        <w:t>В ходе практического использования Классификатора выявленные нарушения при проведении экспертно-аналитических мероприятий по кодам нарушений выглядят таким образом:</w:t>
      </w:r>
    </w:p>
    <w:p w:rsidR="000E2262" w:rsidRDefault="000E2262" w:rsidP="00873154">
      <w:pPr>
        <w:jc w:val="both"/>
        <w:rPr>
          <w:sz w:val="28"/>
          <w:szCs w:val="28"/>
        </w:rPr>
      </w:pPr>
    </w:p>
    <w:p w:rsidR="000E2262" w:rsidRDefault="000E2262" w:rsidP="000E2262">
      <w:pPr>
        <w:ind w:firstLine="567"/>
        <w:jc w:val="both"/>
        <w:rPr>
          <w:sz w:val="14"/>
          <w:szCs w:val="14"/>
        </w:rPr>
      </w:pPr>
    </w:p>
    <w:tbl>
      <w:tblPr>
        <w:tblW w:w="9298" w:type="dxa"/>
        <w:tblInd w:w="94" w:type="dxa"/>
        <w:tblLook w:val="04A0"/>
      </w:tblPr>
      <w:tblGrid>
        <w:gridCol w:w="7087"/>
        <w:gridCol w:w="907"/>
        <w:gridCol w:w="1304"/>
      </w:tblGrid>
      <w:tr w:rsidR="000E2262" w:rsidTr="000E2262">
        <w:trPr>
          <w:trHeight w:val="510"/>
        </w:trPr>
        <w:tc>
          <w:tcPr>
            <w:tcW w:w="7087" w:type="dxa"/>
            <w:tcBorders>
              <w:top w:val="single" w:sz="4" w:space="0" w:color="auto"/>
              <w:left w:val="single" w:sz="4" w:space="0" w:color="auto"/>
              <w:bottom w:val="single" w:sz="4" w:space="0" w:color="auto"/>
              <w:right w:val="single" w:sz="4" w:space="0" w:color="auto"/>
            </w:tcBorders>
            <w:vAlign w:val="center"/>
            <w:hideMark/>
          </w:tcPr>
          <w:p w:rsidR="000E2262" w:rsidRDefault="000E2262">
            <w:pPr>
              <w:jc w:val="center"/>
              <w:rPr>
                <w:color w:val="000000"/>
              </w:rPr>
            </w:pPr>
            <w:r>
              <w:rPr>
                <w:color w:val="000000"/>
              </w:rPr>
              <w:lastRenderedPageBreak/>
              <w:t>Код нарушения</w:t>
            </w:r>
          </w:p>
        </w:tc>
        <w:tc>
          <w:tcPr>
            <w:tcW w:w="907" w:type="dxa"/>
            <w:tcBorders>
              <w:top w:val="single" w:sz="4" w:space="0" w:color="auto"/>
              <w:left w:val="nil"/>
              <w:bottom w:val="single" w:sz="4" w:space="0" w:color="auto"/>
              <w:right w:val="single" w:sz="4" w:space="0" w:color="auto"/>
            </w:tcBorders>
            <w:vAlign w:val="center"/>
            <w:hideMark/>
          </w:tcPr>
          <w:p w:rsidR="000E2262" w:rsidRDefault="000E2262">
            <w:pPr>
              <w:jc w:val="center"/>
              <w:rPr>
                <w:color w:val="000000"/>
              </w:rPr>
            </w:pPr>
            <w:proofErr w:type="spellStart"/>
            <w:r>
              <w:rPr>
                <w:color w:val="000000"/>
              </w:rPr>
              <w:t>Коли-чество</w:t>
            </w:r>
            <w:proofErr w:type="spellEnd"/>
          </w:p>
        </w:tc>
        <w:tc>
          <w:tcPr>
            <w:tcW w:w="1304" w:type="dxa"/>
            <w:tcBorders>
              <w:top w:val="single" w:sz="4" w:space="0" w:color="auto"/>
              <w:left w:val="nil"/>
              <w:bottom w:val="single" w:sz="4" w:space="0" w:color="auto"/>
              <w:right w:val="single" w:sz="4" w:space="0" w:color="auto"/>
            </w:tcBorders>
            <w:vAlign w:val="center"/>
            <w:hideMark/>
          </w:tcPr>
          <w:p w:rsidR="000E2262" w:rsidRDefault="000E2262">
            <w:pPr>
              <w:jc w:val="center"/>
              <w:rPr>
                <w:color w:val="000000"/>
              </w:rPr>
            </w:pPr>
            <w:r>
              <w:rPr>
                <w:color w:val="000000"/>
              </w:rPr>
              <w:t>тыс. рублей</w:t>
            </w:r>
          </w:p>
        </w:tc>
      </w:tr>
      <w:tr w:rsidR="000E2262" w:rsidTr="000E2262">
        <w:trPr>
          <w:trHeight w:val="900"/>
        </w:trPr>
        <w:tc>
          <w:tcPr>
            <w:tcW w:w="7087" w:type="dxa"/>
            <w:tcBorders>
              <w:top w:val="single" w:sz="4" w:space="0" w:color="auto"/>
              <w:left w:val="single" w:sz="4" w:space="0" w:color="auto"/>
              <w:bottom w:val="single" w:sz="4" w:space="0" w:color="auto"/>
              <w:right w:val="single" w:sz="4" w:space="0" w:color="auto"/>
            </w:tcBorders>
            <w:vAlign w:val="bottom"/>
            <w:hideMark/>
          </w:tcPr>
          <w:p w:rsidR="000E2262" w:rsidRDefault="000E2262">
            <w:pPr>
              <w:rPr>
                <w:color w:val="000000"/>
                <w:lang w:eastAsia="en-US"/>
              </w:rPr>
            </w:pPr>
            <w:r>
              <w:rPr>
                <w:color w:val="000000"/>
              </w:rPr>
              <w:t>1.1.1 Нарушение порядка и сроков составления и (или) представления проектов бюджетов бюджетной системы Российской Федерации</w:t>
            </w:r>
          </w:p>
        </w:tc>
        <w:tc>
          <w:tcPr>
            <w:tcW w:w="907" w:type="dxa"/>
            <w:tcBorders>
              <w:top w:val="single" w:sz="4" w:space="0" w:color="auto"/>
              <w:left w:val="nil"/>
              <w:bottom w:val="single" w:sz="4" w:space="0" w:color="auto"/>
              <w:right w:val="single" w:sz="4" w:space="0" w:color="auto"/>
            </w:tcBorders>
            <w:vAlign w:val="bottom"/>
            <w:hideMark/>
          </w:tcPr>
          <w:p w:rsidR="000E2262" w:rsidRDefault="000E2262">
            <w:pPr>
              <w:jc w:val="center"/>
              <w:rPr>
                <w:color w:val="000000"/>
              </w:rPr>
            </w:pPr>
            <w:r>
              <w:rPr>
                <w:color w:val="000000"/>
              </w:rPr>
              <w:t>12</w:t>
            </w:r>
          </w:p>
        </w:tc>
        <w:tc>
          <w:tcPr>
            <w:tcW w:w="1304" w:type="dxa"/>
            <w:tcBorders>
              <w:top w:val="single" w:sz="4" w:space="0" w:color="auto"/>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r w:rsidR="000E2262" w:rsidTr="000E2262">
        <w:trPr>
          <w:trHeight w:val="600"/>
        </w:trPr>
        <w:tc>
          <w:tcPr>
            <w:tcW w:w="7087" w:type="dxa"/>
            <w:tcBorders>
              <w:top w:val="nil"/>
              <w:left w:val="single" w:sz="4" w:space="0" w:color="auto"/>
              <w:bottom w:val="single" w:sz="4" w:space="0" w:color="auto"/>
              <w:right w:val="single" w:sz="4" w:space="0" w:color="auto"/>
            </w:tcBorders>
            <w:vAlign w:val="bottom"/>
            <w:hideMark/>
          </w:tcPr>
          <w:p w:rsidR="000E2262" w:rsidRDefault="000E2262">
            <w:pPr>
              <w:rPr>
                <w:color w:val="000000"/>
                <w:lang w:eastAsia="en-US"/>
              </w:rPr>
            </w:pPr>
            <w:r>
              <w:rPr>
                <w:color w:val="000000"/>
              </w:rPr>
              <w:t>1.1.2. Нарушение порядка применения бюджетной классификации Российской Федерации</w:t>
            </w:r>
          </w:p>
        </w:tc>
        <w:tc>
          <w:tcPr>
            <w:tcW w:w="907"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3</w:t>
            </w:r>
          </w:p>
        </w:tc>
        <w:tc>
          <w:tcPr>
            <w:tcW w:w="1304" w:type="dxa"/>
            <w:tcBorders>
              <w:top w:val="nil"/>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r w:rsidR="000E2262" w:rsidTr="000E2262">
        <w:trPr>
          <w:trHeight w:val="600"/>
        </w:trPr>
        <w:tc>
          <w:tcPr>
            <w:tcW w:w="7087" w:type="dxa"/>
            <w:tcBorders>
              <w:top w:val="nil"/>
              <w:left w:val="single" w:sz="4" w:space="0" w:color="auto"/>
              <w:bottom w:val="single" w:sz="4" w:space="0" w:color="auto"/>
              <w:right w:val="single" w:sz="4" w:space="0" w:color="auto"/>
            </w:tcBorders>
            <w:hideMark/>
          </w:tcPr>
          <w:p w:rsidR="000E2262" w:rsidRDefault="000E2262">
            <w:pPr>
              <w:rPr>
                <w:color w:val="000000"/>
                <w:lang w:eastAsia="en-US"/>
              </w:rPr>
            </w:pPr>
            <w:r>
              <w:rPr>
                <w:color w:val="000000"/>
              </w:rPr>
              <w:t>1.2.91 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907" w:type="dxa"/>
            <w:tcBorders>
              <w:top w:val="nil"/>
              <w:left w:val="nil"/>
              <w:bottom w:val="single" w:sz="4" w:space="0" w:color="auto"/>
              <w:right w:val="single" w:sz="4" w:space="0" w:color="auto"/>
            </w:tcBorders>
            <w:vAlign w:val="bottom"/>
            <w:hideMark/>
          </w:tcPr>
          <w:p w:rsidR="000E2262" w:rsidRDefault="000E2262">
            <w:pPr>
              <w:jc w:val="center"/>
              <w:rPr>
                <w:color w:val="000000"/>
              </w:rPr>
            </w:pPr>
            <w:r>
              <w:rPr>
                <w:color w:val="000000"/>
              </w:rPr>
              <w:t>8</w:t>
            </w:r>
          </w:p>
        </w:tc>
        <w:tc>
          <w:tcPr>
            <w:tcW w:w="1304" w:type="dxa"/>
            <w:tcBorders>
              <w:top w:val="nil"/>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r w:rsidR="000E2262" w:rsidTr="000E2262">
        <w:trPr>
          <w:trHeight w:val="315"/>
        </w:trPr>
        <w:tc>
          <w:tcPr>
            <w:tcW w:w="7087" w:type="dxa"/>
            <w:tcBorders>
              <w:top w:val="nil"/>
              <w:left w:val="single" w:sz="4" w:space="0" w:color="auto"/>
              <w:bottom w:val="single" w:sz="4" w:space="0" w:color="auto"/>
              <w:right w:val="single" w:sz="4" w:space="0" w:color="auto"/>
            </w:tcBorders>
            <w:hideMark/>
          </w:tcPr>
          <w:p w:rsidR="000E2262" w:rsidRDefault="000E2262">
            <w:pPr>
              <w:jc w:val="center"/>
              <w:rPr>
                <w:bCs/>
                <w:iCs/>
                <w:color w:val="000000"/>
              </w:rPr>
            </w:pPr>
            <w:r>
              <w:rPr>
                <w:bCs/>
                <w:iCs/>
                <w:color w:val="000000"/>
              </w:rPr>
              <w:t>ИТОГО по экспертно-аналитическим мероприятиям</w:t>
            </w:r>
          </w:p>
        </w:tc>
        <w:tc>
          <w:tcPr>
            <w:tcW w:w="907" w:type="dxa"/>
            <w:tcBorders>
              <w:top w:val="nil"/>
              <w:left w:val="nil"/>
              <w:bottom w:val="single" w:sz="4" w:space="0" w:color="auto"/>
              <w:right w:val="single" w:sz="4" w:space="0" w:color="auto"/>
            </w:tcBorders>
            <w:vAlign w:val="bottom"/>
            <w:hideMark/>
          </w:tcPr>
          <w:p w:rsidR="000E2262" w:rsidRDefault="000E2262">
            <w:pPr>
              <w:jc w:val="center"/>
              <w:rPr>
                <w:bCs/>
                <w:iCs/>
                <w:color w:val="000000"/>
              </w:rPr>
            </w:pPr>
            <w:r>
              <w:rPr>
                <w:bCs/>
                <w:iCs/>
                <w:color w:val="000000"/>
              </w:rPr>
              <w:t>23</w:t>
            </w:r>
          </w:p>
        </w:tc>
        <w:tc>
          <w:tcPr>
            <w:tcW w:w="1304" w:type="dxa"/>
            <w:tcBorders>
              <w:top w:val="nil"/>
              <w:left w:val="nil"/>
              <w:bottom w:val="single" w:sz="4" w:space="0" w:color="auto"/>
              <w:right w:val="single" w:sz="4" w:space="0" w:color="auto"/>
            </w:tcBorders>
            <w:vAlign w:val="bottom"/>
            <w:hideMark/>
          </w:tcPr>
          <w:p w:rsidR="000E2262" w:rsidRDefault="000E2262">
            <w:pPr>
              <w:jc w:val="center"/>
              <w:rPr>
                <w:rFonts w:eastAsiaTheme="minorEastAsia"/>
                <w:sz w:val="22"/>
              </w:rPr>
            </w:pPr>
          </w:p>
        </w:tc>
      </w:tr>
    </w:tbl>
    <w:p w:rsidR="000E2262" w:rsidRDefault="000E2262" w:rsidP="000E2262">
      <w:pPr>
        <w:ind w:firstLine="567"/>
        <w:jc w:val="both"/>
        <w:rPr>
          <w:sz w:val="14"/>
          <w:szCs w:val="14"/>
        </w:rPr>
      </w:pPr>
    </w:p>
    <w:p w:rsidR="000E2262" w:rsidRDefault="000E2262" w:rsidP="000E2262">
      <w:pPr>
        <w:ind w:firstLine="567"/>
        <w:jc w:val="both"/>
        <w:rPr>
          <w:sz w:val="28"/>
          <w:szCs w:val="28"/>
        </w:rPr>
      </w:pPr>
      <w:r>
        <w:rPr>
          <w:sz w:val="28"/>
          <w:szCs w:val="28"/>
        </w:rPr>
        <w:t>Кроме того, выявлено 4 недостатка на 10,3 тыс. рублей, которые не соответствуют принципу результативности и эффективности использования бюджетных средств.</w:t>
      </w:r>
    </w:p>
    <w:p w:rsidR="000E2262" w:rsidRDefault="000E2262" w:rsidP="00873154">
      <w:pPr>
        <w:ind w:firstLine="567"/>
        <w:jc w:val="both"/>
        <w:rPr>
          <w:rFonts w:eastAsiaTheme="minorHAnsi"/>
          <w:sz w:val="28"/>
          <w:szCs w:val="28"/>
          <w:lang w:eastAsia="en-US"/>
        </w:rPr>
      </w:pPr>
      <w:r>
        <w:rPr>
          <w:sz w:val="28"/>
          <w:szCs w:val="28"/>
        </w:rPr>
        <w:t>Замечания и предложения контрольно-ревизионной комиссии, отраженные в заключениях, учитывались при рассмотрении и при подготовке окончательной редакции документов проектов решений для утверждения их представительными органами муниципальных образований.</w:t>
      </w:r>
    </w:p>
    <w:p w:rsidR="000E2262" w:rsidRDefault="000E2262" w:rsidP="00873154">
      <w:pPr>
        <w:ind w:firstLine="567"/>
        <w:jc w:val="both"/>
        <w:rPr>
          <w:sz w:val="28"/>
          <w:szCs w:val="28"/>
        </w:rPr>
      </w:pPr>
      <w:r>
        <w:rPr>
          <w:sz w:val="28"/>
          <w:szCs w:val="28"/>
        </w:rPr>
        <w:t>В соответствии с положениями Бюджетного кодекса Российской Федерации органы внешнего муниципального финансового контроля наделены исключительными полномочиями по проведению внешней проверки годового отчета об исполнении бюджета.</w:t>
      </w:r>
    </w:p>
    <w:p w:rsidR="000E2262" w:rsidRDefault="000E2262" w:rsidP="000E2262">
      <w:pPr>
        <w:ind w:firstLine="567"/>
        <w:jc w:val="both"/>
        <w:rPr>
          <w:sz w:val="28"/>
          <w:szCs w:val="28"/>
        </w:rPr>
      </w:pPr>
      <w:r>
        <w:rPr>
          <w:sz w:val="28"/>
          <w:szCs w:val="28"/>
        </w:rPr>
        <w:t>В отчетном периоде внешние проверки контрольно-ревизионной комиссией проведены в отношении:</w:t>
      </w:r>
    </w:p>
    <w:p w:rsidR="000E2262" w:rsidRDefault="000E2262" w:rsidP="000E2262">
      <w:pPr>
        <w:ind w:firstLine="567"/>
        <w:jc w:val="both"/>
        <w:rPr>
          <w:sz w:val="28"/>
          <w:szCs w:val="28"/>
        </w:rPr>
      </w:pPr>
      <w:r>
        <w:rPr>
          <w:sz w:val="28"/>
          <w:szCs w:val="28"/>
        </w:rPr>
        <w:t>5 главных администраторов бюджетных средств, подготовлено заключение на годовой отчет об исполнении районного бюджета за 2019 год;</w:t>
      </w:r>
    </w:p>
    <w:p w:rsidR="000E2262" w:rsidRDefault="000E2262" w:rsidP="000E2262">
      <w:pPr>
        <w:ind w:firstLine="567"/>
        <w:jc w:val="both"/>
        <w:rPr>
          <w:sz w:val="28"/>
          <w:szCs w:val="28"/>
        </w:rPr>
      </w:pPr>
      <w:r>
        <w:rPr>
          <w:sz w:val="28"/>
          <w:szCs w:val="28"/>
        </w:rPr>
        <w:t>3-х муниципальных образований района, подготовлены заключения об исполнении бюджета за 2019 год муниципальным образованием Городецкое, сельскими поселениями Енангское и Кичменгское.</w:t>
      </w:r>
    </w:p>
    <w:p w:rsidR="000E2262" w:rsidRDefault="000E2262" w:rsidP="000E2262">
      <w:pPr>
        <w:ind w:firstLine="567"/>
        <w:jc w:val="both"/>
        <w:rPr>
          <w:sz w:val="28"/>
          <w:szCs w:val="28"/>
        </w:rPr>
      </w:pPr>
      <w:r>
        <w:rPr>
          <w:sz w:val="28"/>
          <w:szCs w:val="28"/>
        </w:rPr>
        <w:t>При проведении данного мероприятия выявлено 10 фактов нарушений нормативных правовых актов и 3 недостатка на 10,3 тыс. рублей.</w:t>
      </w:r>
    </w:p>
    <w:p w:rsidR="000E2262" w:rsidRDefault="000E2262" w:rsidP="000E2262">
      <w:pPr>
        <w:ind w:firstLine="567"/>
        <w:jc w:val="both"/>
        <w:rPr>
          <w:sz w:val="28"/>
          <w:szCs w:val="28"/>
        </w:rPr>
      </w:pPr>
      <w:r>
        <w:rPr>
          <w:sz w:val="28"/>
          <w:szCs w:val="28"/>
        </w:rPr>
        <w:t>В целом при исполнении бюджета муниципальными образованиями района нормы действующего законодательства соблюдались, отчеты составлены в соответствии с требованиями нормативных правовых актов и рекомендованы к утверждению.</w:t>
      </w:r>
    </w:p>
    <w:p w:rsidR="000E2262" w:rsidRDefault="000E2262" w:rsidP="00873154">
      <w:pPr>
        <w:ind w:firstLine="567"/>
        <w:jc w:val="both"/>
        <w:rPr>
          <w:sz w:val="28"/>
          <w:szCs w:val="28"/>
        </w:rPr>
      </w:pPr>
      <w:r>
        <w:rPr>
          <w:sz w:val="28"/>
          <w:szCs w:val="28"/>
        </w:rPr>
        <w:t xml:space="preserve">В отчетном периоде подготовлено 26 заключений на проекты решений «О внесении изменений в решения «О районном бюджете на 2020 год и плановый период 2021 и 2022 годов», «О бюджете муниципального образования Городецкое на 2020 год и плановый период 2021 и 2022 годов», «О бюджете сельского поселения Енангское на 2020 год и плановый период 2021 и 2022 годов», «О бюджете сельского поселения Кичменгское на 2020 год и плановый период 2021 и 2022 годов», в ходе подготовки которых </w:t>
      </w:r>
      <w:r>
        <w:rPr>
          <w:sz w:val="28"/>
          <w:szCs w:val="28"/>
        </w:rPr>
        <w:lastRenderedPageBreak/>
        <w:t>проанализированы проекты решений муниципальных образований с приложениями, расчеты и обоснования предлагаемых изменений.</w:t>
      </w:r>
    </w:p>
    <w:p w:rsidR="000E2262" w:rsidRDefault="000E2262" w:rsidP="000E2262">
      <w:pPr>
        <w:ind w:firstLine="567"/>
        <w:jc w:val="both"/>
        <w:rPr>
          <w:sz w:val="28"/>
          <w:szCs w:val="28"/>
        </w:rPr>
      </w:pPr>
      <w:r>
        <w:rPr>
          <w:sz w:val="28"/>
          <w:szCs w:val="28"/>
        </w:rPr>
        <w:t>При проведении данных мероприятий выявлено 2 нарушения Бюджетного кодекса Российской Федерации.</w:t>
      </w:r>
    </w:p>
    <w:p w:rsidR="000E2262" w:rsidRDefault="000E2262" w:rsidP="000E2262">
      <w:pPr>
        <w:ind w:firstLine="567"/>
        <w:jc w:val="both"/>
        <w:rPr>
          <w:sz w:val="28"/>
          <w:szCs w:val="28"/>
        </w:rPr>
      </w:pPr>
      <w:r>
        <w:rPr>
          <w:sz w:val="28"/>
          <w:szCs w:val="28"/>
        </w:rPr>
        <w:t>По итогам экспертно-аналитических мероприятий даны соответствующие рекомендации, которые учтены при принятии решений.</w:t>
      </w:r>
    </w:p>
    <w:p w:rsidR="000E2262" w:rsidRDefault="000E2262" w:rsidP="00873154">
      <w:pPr>
        <w:ind w:firstLine="567"/>
        <w:jc w:val="both"/>
        <w:rPr>
          <w:sz w:val="28"/>
          <w:szCs w:val="28"/>
        </w:rPr>
      </w:pPr>
      <w:r>
        <w:rPr>
          <w:sz w:val="28"/>
          <w:szCs w:val="28"/>
        </w:rPr>
        <w:t xml:space="preserve">В 12 заключениях на отчеты об исполнении районного бюджета и бюджетов сельских поселений района за </w:t>
      </w:r>
      <w:r>
        <w:rPr>
          <w:sz w:val="28"/>
          <w:szCs w:val="28"/>
          <w:lang w:val="en-US"/>
        </w:rPr>
        <w:t>I</w:t>
      </w:r>
      <w:r w:rsidRPr="000E2262">
        <w:rPr>
          <w:sz w:val="28"/>
          <w:szCs w:val="28"/>
        </w:rPr>
        <w:t xml:space="preserve"> </w:t>
      </w:r>
      <w:r>
        <w:rPr>
          <w:sz w:val="28"/>
          <w:szCs w:val="28"/>
        </w:rPr>
        <w:t>квартал, полугодие и 9 месяцев 2020 года дана оценка и сделаны выводы о результатах исполнения доходной и расходной частей бюджетов в соответствии с бюджетной классификацией Российской Федерации в разрезе доходных источников и главных распорядителей.</w:t>
      </w:r>
    </w:p>
    <w:p w:rsidR="000E2262" w:rsidRDefault="000E2262" w:rsidP="000E2262">
      <w:pPr>
        <w:ind w:firstLine="567"/>
        <w:jc w:val="both"/>
        <w:rPr>
          <w:sz w:val="28"/>
          <w:szCs w:val="28"/>
        </w:rPr>
      </w:pPr>
      <w:r>
        <w:rPr>
          <w:sz w:val="28"/>
          <w:szCs w:val="28"/>
        </w:rPr>
        <w:t>При проведении данных мероприятий выявлен 1 недостаток.</w:t>
      </w:r>
    </w:p>
    <w:p w:rsidR="000E2262" w:rsidRDefault="000E2262" w:rsidP="00873154">
      <w:pPr>
        <w:ind w:firstLine="567"/>
        <w:jc w:val="both"/>
        <w:rPr>
          <w:sz w:val="28"/>
          <w:szCs w:val="28"/>
        </w:rPr>
      </w:pPr>
      <w:r>
        <w:rPr>
          <w:sz w:val="28"/>
          <w:szCs w:val="28"/>
        </w:rPr>
        <w:t>В соответствии с положениями Бюджетного кодекса Российской Федерации, нормативными правовыми актами Российской Федерации и муниципальных образований Кичменгско-Городецкого муниципального района проведены экспертизы проектов решений «О районном бюджете на 2021 год и плановый период 2022 и 2023 годов», «О бюджете муниципального образования Городецкое на 2021 год и плановый период 2022 и 2023 годов», «О бюджете сельского поселения Енангское на 2021 год и плановый период 2022 и 2023 годов», «О бюджете сельского поселения Кичменгское на 2021 год и плановый период 2022 и 2023 годов».</w:t>
      </w:r>
    </w:p>
    <w:p w:rsidR="000E2262" w:rsidRDefault="000E2262" w:rsidP="000E2262">
      <w:pPr>
        <w:ind w:firstLine="567"/>
        <w:jc w:val="both"/>
        <w:rPr>
          <w:sz w:val="28"/>
          <w:szCs w:val="28"/>
        </w:rPr>
      </w:pPr>
      <w:r>
        <w:rPr>
          <w:sz w:val="28"/>
          <w:szCs w:val="28"/>
        </w:rPr>
        <w:t>В заключениях, подготовленных КРК района, дана оценка и сделаны выводы о результатах формирования бюджета по доходам и расходам на очередной финансовый год и плановый период.</w:t>
      </w:r>
    </w:p>
    <w:p w:rsidR="000E2262" w:rsidRDefault="000E2262" w:rsidP="000E2262">
      <w:pPr>
        <w:ind w:firstLine="567"/>
        <w:jc w:val="both"/>
        <w:rPr>
          <w:sz w:val="28"/>
          <w:szCs w:val="28"/>
        </w:rPr>
      </w:pPr>
      <w:r>
        <w:rPr>
          <w:sz w:val="28"/>
          <w:szCs w:val="28"/>
        </w:rPr>
        <w:t>При проведении данных экспертно-аналитических мероприятий выявлено 11 фактов нарушений нормативных правовых актов.</w:t>
      </w:r>
    </w:p>
    <w:p w:rsidR="000E2262" w:rsidRDefault="000E2262" w:rsidP="000E2262">
      <w:pPr>
        <w:ind w:firstLine="567"/>
        <w:rPr>
          <w:sz w:val="14"/>
          <w:szCs w:val="14"/>
          <w:highlight w:val="yellow"/>
        </w:rPr>
      </w:pPr>
    </w:p>
    <w:p w:rsidR="000E2262" w:rsidRDefault="000E2262" w:rsidP="000E2262">
      <w:pPr>
        <w:outlineLvl w:val="2"/>
        <w:rPr>
          <w:b/>
          <w:bCs/>
          <w:sz w:val="26"/>
          <w:szCs w:val="26"/>
        </w:rPr>
      </w:pPr>
      <w:r>
        <w:rPr>
          <w:b/>
          <w:bCs/>
          <w:sz w:val="26"/>
          <w:szCs w:val="26"/>
        </w:rPr>
        <w:t>4. Информация о результатах аудита в сфере закупок</w:t>
      </w:r>
    </w:p>
    <w:p w:rsidR="000E2262" w:rsidRDefault="000E2262" w:rsidP="000E2262">
      <w:pPr>
        <w:outlineLvl w:val="2"/>
        <w:rPr>
          <w:bCs/>
          <w:sz w:val="14"/>
          <w:szCs w:val="14"/>
          <w:highlight w:val="yellow"/>
        </w:rPr>
      </w:pPr>
    </w:p>
    <w:p w:rsidR="000E2262" w:rsidRDefault="000E2262" w:rsidP="00873154">
      <w:pPr>
        <w:pStyle w:val="afc"/>
        <w:tabs>
          <w:tab w:val="left" w:pos="9498"/>
        </w:tabs>
        <w:spacing w:before="0" w:beforeAutospacing="0" w:after="0" w:afterAutospacing="0"/>
        <w:ind w:firstLine="709"/>
        <w:jc w:val="both"/>
        <w:rPr>
          <w:sz w:val="28"/>
          <w:szCs w:val="28"/>
        </w:rPr>
      </w:pPr>
      <w:r>
        <w:rPr>
          <w:sz w:val="28"/>
          <w:szCs w:val="28"/>
        </w:rPr>
        <w:t>Особое место в деятельности контрольно-ревизионной комиссии в отчётном году уделено реализации полномочий органа внешнего муниципального финансового контроля в сфере закупок в соответствии со статьей 98 Федерального закона № 44-ФЗ «О контрактной системе в сфере закупок товаров, работ, услуг для обеспечения государственных и муниципальных нужд» в целях исследования бюджетных рисков и определения влияния недостатков закупочной деятельности на эффективное использование бюджетных средств.</w:t>
      </w:r>
    </w:p>
    <w:p w:rsidR="000E2262" w:rsidRDefault="000E2262" w:rsidP="00873154">
      <w:pPr>
        <w:ind w:firstLine="567"/>
        <w:jc w:val="both"/>
        <w:rPr>
          <w:sz w:val="28"/>
          <w:szCs w:val="28"/>
        </w:rPr>
      </w:pPr>
      <w:r>
        <w:rPr>
          <w:sz w:val="28"/>
          <w:szCs w:val="28"/>
        </w:rPr>
        <w:t>В целом, в 2020 году использование бюджетных средств на закупку товаров, работ, услуг рассматривалось контрольно-ревизионной комиссией у 5 муниципальных заказчиков (при проведении самостоятельного контрольного мероприятия; при проведении 4-х контрольных мероприятий, в которых деятельность в сфере закупок проверялась как одна из составляющих деятельности объекта контроля).</w:t>
      </w:r>
    </w:p>
    <w:p w:rsidR="000E2262" w:rsidRDefault="000E2262" w:rsidP="00873154">
      <w:pPr>
        <w:ind w:firstLine="567"/>
        <w:jc w:val="both"/>
        <w:rPr>
          <w:sz w:val="28"/>
          <w:szCs w:val="28"/>
        </w:rPr>
      </w:pPr>
    </w:p>
    <w:p w:rsidR="000E2262" w:rsidRDefault="000E2262" w:rsidP="00873154">
      <w:pPr>
        <w:ind w:firstLine="567"/>
        <w:jc w:val="both"/>
        <w:rPr>
          <w:sz w:val="28"/>
          <w:szCs w:val="28"/>
        </w:rPr>
      </w:pPr>
      <w:r>
        <w:rPr>
          <w:sz w:val="28"/>
          <w:szCs w:val="28"/>
        </w:rPr>
        <w:lastRenderedPageBreak/>
        <w:t>Объем проверенных бюджетных средств по закупкам составил 33 827,7 тыс. рублей, контрольными мероприятиями выявлено 12 нарушений законодательства о контрактной системе в сфере закупок на сумму 2 127,2 тыс. рублей.</w:t>
      </w:r>
    </w:p>
    <w:p w:rsidR="000E2262" w:rsidRDefault="000E2262" w:rsidP="00873154">
      <w:pPr>
        <w:ind w:firstLine="567"/>
        <w:jc w:val="both"/>
        <w:rPr>
          <w:sz w:val="14"/>
          <w:szCs w:val="14"/>
          <w:highlight w:val="yellow"/>
        </w:rPr>
      </w:pPr>
    </w:p>
    <w:p w:rsidR="000E2262" w:rsidRPr="00873154" w:rsidRDefault="000E2262" w:rsidP="00873154">
      <w:pPr>
        <w:shd w:val="clear" w:color="auto" w:fill="FFFFFF"/>
        <w:jc w:val="both"/>
        <w:rPr>
          <w:rFonts w:eastAsiaTheme="minorHAnsi"/>
          <w:b/>
          <w:sz w:val="26"/>
          <w:szCs w:val="26"/>
          <w:lang w:eastAsia="en-US"/>
        </w:rPr>
      </w:pPr>
      <w:r>
        <w:rPr>
          <w:b/>
          <w:sz w:val="26"/>
          <w:szCs w:val="26"/>
        </w:rPr>
        <w:t xml:space="preserve">5. Выполнение полномочий по внешнему финансовому контролю </w:t>
      </w:r>
      <w:r w:rsidR="00873154">
        <w:rPr>
          <w:rFonts w:eastAsiaTheme="minorHAnsi"/>
          <w:b/>
          <w:sz w:val="26"/>
          <w:szCs w:val="26"/>
          <w:lang w:eastAsia="en-US"/>
        </w:rPr>
        <w:t xml:space="preserve"> </w:t>
      </w:r>
      <w:r>
        <w:rPr>
          <w:b/>
          <w:sz w:val="26"/>
          <w:szCs w:val="26"/>
        </w:rPr>
        <w:t>на уровне поселений</w:t>
      </w:r>
    </w:p>
    <w:p w:rsidR="000E2262" w:rsidRDefault="000E2262" w:rsidP="00873154">
      <w:pPr>
        <w:shd w:val="clear" w:color="auto" w:fill="FFFFFF"/>
        <w:ind w:firstLine="567"/>
        <w:rPr>
          <w:sz w:val="14"/>
          <w:szCs w:val="14"/>
          <w:highlight w:val="yellow"/>
        </w:rPr>
      </w:pPr>
    </w:p>
    <w:p w:rsidR="000E2262" w:rsidRDefault="000E2262" w:rsidP="00873154">
      <w:pPr>
        <w:pStyle w:val="Default"/>
        <w:ind w:firstLine="567"/>
        <w:jc w:val="both"/>
        <w:rPr>
          <w:sz w:val="28"/>
          <w:szCs w:val="28"/>
        </w:rPr>
      </w:pPr>
      <w:r>
        <w:rPr>
          <w:sz w:val="28"/>
          <w:szCs w:val="28"/>
        </w:rPr>
        <w:t xml:space="preserve">На территории муниципального района функционируют 3 сельских поселения: МО Городецкое, СП Енангское и СП Кичменгское. </w:t>
      </w:r>
    </w:p>
    <w:p w:rsidR="000E2262" w:rsidRDefault="000E2262" w:rsidP="00873154">
      <w:pPr>
        <w:autoSpaceDE w:val="0"/>
        <w:autoSpaceDN w:val="0"/>
        <w:adjustRightInd w:val="0"/>
        <w:ind w:firstLine="567"/>
        <w:jc w:val="both"/>
        <w:rPr>
          <w:sz w:val="28"/>
          <w:szCs w:val="28"/>
        </w:rPr>
      </w:pPr>
      <w:r>
        <w:rPr>
          <w:sz w:val="28"/>
          <w:szCs w:val="28"/>
        </w:rPr>
        <w:t>В соответствии с частью 11 статьи 3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представительным органам поселений, входящим в состав муниципального района, предоставлено право заключения соглашений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E2262" w:rsidRDefault="000E2262" w:rsidP="00873154">
      <w:pPr>
        <w:autoSpaceDE w:val="0"/>
        <w:autoSpaceDN w:val="0"/>
        <w:adjustRightInd w:val="0"/>
        <w:ind w:firstLine="567"/>
        <w:jc w:val="both"/>
        <w:rPr>
          <w:sz w:val="28"/>
          <w:szCs w:val="28"/>
        </w:rPr>
      </w:pPr>
      <w:r>
        <w:rPr>
          <w:sz w:val="28"/>
          <w:szCs w:val="28"/>
        </w:rPr>
        <w:t>На уровень района по состоянию на 1 января 2020 года контрольные полномочия в полном объеме были переданы всеми поселениями.</w:t>
      </w:r>
    </w:p>
    <w:p w:rsidR="000E2262" w:rsidRDefault="000E2262" w:rsidP="00873154">
      <w:pPr>
        <w:pStyle w:val="Default"/>
        <w:ind w:firstLine="567"/>
        <w:jc w:val="both"/>
        <w:rPr>
          <w:sz w:val="28"/>
          <w:szCs w:val="28"/>
        </w:rPr>
      </w:pPr>
      <w:r>
        <w:rPr>
          <w:sz w:val="28"/>
          <w:szCs w:val="28"/>
        </w:rPr>
        <w:t>В рамках выполнения переданных по соглашениям полномочий в 2020 году в поселениях проведено 3 контрольных мероприятия с объемом проверенных бюджетных средств 29 134,6 тыс. рублей и 34 экспертно-аналитических мероприятия с объемом проверенных бюджетных средств 168 892,9 тыс. рублей.</w:t>
      </w:r>
    </w:p>
    <w:p w:rsidR="000E2262" w:rsidRDefault="000E2262" w:rsidP="00873154">
      <w:pPr>
        <w:shd w:val="clear" w:color="auto" w:fill="FFFFFF"/>
        <w:ind w:firstLine="567"/>
        <w:rPr>
          <w:b/>
          <w:sz w:val="14"/>
          <w:szCs w:val="14"/>
          <w:highlight w:val="yellow"/>
        </w:rPr>
      </w:pPr>
    </w:p>
    <w:p w:rsidR="000E2262" w:rsidRDefault="000E2262" w:rsidP="00873154">
      <w:pPr>
        <w:shd w:val="clear" w:color="auto" w:fill="FFFFFF"/>
        <w:rPr>
          <w:b/>
          <w:sz w:val="26"/>
          <w:szCs w:val="26"/>
        </w:rPr>
      </w:pPr>
      <w:r>
        <w:rPr>
          <w:b/>
          <w:sz w:val="26"/>
          <w:szCs w:val="26"/>
        </w:rPr>
        <w:t>6. Прочие итоги деятельности контрольно-ревизионной комиссии</w:t>
      </w:r>
    </w:p>
    <w:p w:rsidR="000E2262" w:rsidRDefault="000E2262" w:rsidP="00873154">
      <w:pPr>
        <w:shd w:val="clear" w:color="auto" w:fill="FFFFFF"/>
        <w:ind w:firstLine="567"/>
        <w:rPr>
          <w:sz w:val="14"/>
          <w:szCs w:val="14"/>
          <w:highlight w:val="yellow"/>
        </w:rPr>
      </w:pPr>
    </w:p>
    <w:p w:rsidR="000E2262" w:rsidRDefault="000E2262" w:rsidP="0087315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статьей 20 Положения о контрольно-ревизионной комиссии контрольно-ревизионной комиссией заключены соглашения с прокуратурой района, Контрольно-счетной палатой Вологодской области; Управлением Федерального казначейства по Вологодской области.</w:t>
      </w:r>
    </w:p>
    <w:p w:rsidR="000E2262" w:rsidRDefault="000E2262" w:rsidP="0087315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Контрольно-ревизионная комиссия является членом Совета контрольно-счетных органов Вологодской области.</w:t>
      </w:r>
    </w:p>
    <w:p w:rsidR="000E2262" w:rsidRDefault="000E2262" w:rsidP="0087315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целях информационного обеспечения на официальном сайте Кичменгско-Городецкого муниципального района в информационно-телекоммуникационной сети «Интернет» в разделе карты сайта «Муниципальное Собрание Кичменгско-Городецкого муниципального района» на странице «Контрольно-ревизионная комиссия» размещается информация о деятельности контрольно-ревизионной комиссии.</w:t>
      </w:r>
    </w:p>
    <w:p w:rsidR="000E2262" w:rsidRDefault="000E2262" w:rsidP="0087315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течение 2020 года председатель контрольно-ревизионной комиссии принимал участие в работе постоянных комиссий и заседаниях Муниципального Собрания.</w:t>
      </w:r>
    </w:p>
    <w:p w:rsidR="000E2262" w:rsidRPr="00873154" w:rsidRDefault="000E2262" w:rsidP="00873154">
      <w:pPr>
        <w:pStyle w:val="ae"/>
        <w:ind w:firstLine="567"/>
        <w:jc w:val="both"/>
        <w:rPr>
          <w:rFonts w:ascii="Times New Roman" w:hAnsi="Times New Roman"/>
          <w:sz w:val="28"/>
          <w:szCs w:val="28"/>
        </w:rPr>
      </w:pPr>
      <w:r w:rsidRPr="00873154">
        <w:rPr>
          <w:rFonts w:ascii="Times New Roman" w:hAnsi="Times New Roman"/>
          <w:sz w:val="28"/>
          <w:szCs w:val="28"/>
        </w:rPr>
        <w:t xml:space="preserve">В целях повышения квалификации в 2020 году главный специалист КРК прошла курсы обучения в Северо-Западном институте (филиале) Университета имени О.Е. </w:t>
      </w:r>
      <w:proofErr w:type="spellStart"/>
      <w:r w:rsidRPr="00873154">
        <w:rPr>
          <w:rFonts w:ascii="Times New Roman" w:hAnsi="Times New Roman"/>
          <w:sz w:val="28"/>
          <w:szCs w:val="28"/>
        </w:rPr>
        <w:t>Кутафина</w:t>
      </w:r>
      <w:proofErr w:type="spellEnd"/>
      <w:r w:rsidRPr="00873154">
        <w:rPr>
          <w:rFonts w:ascii="Times New Roman" w:hAnsi="Times New Roman"/>
          <w:sz w:val="28"/>
          <w:szCs w:val="28"/>
        </w:rPr>
        <w:t xml:space="preserve"> (МГЮА) по программе «Финансовый контроль в бюджетной сфере» и в Частном образовательном учреждении </w:t>
      </w:r>
      <w:r w:rsidRPr="00873154">
        <w:rPr>
          <w:rFonts w:ascii="Times New Roman" w:hAnsi="Times New Roman"/>
          <w:sz w:val="28"/>
          <w:szCs w:val="28"/>
        </w:rPr>
        <w:lastRenderedPageBreak/>
        <w:t>дополнительного профессионального образования «Институт переподготовки и повышения квалификации» по программе «Управление государственными и муниципальными закупками».</w:t>
      </w:r>
    </w:p>
    <w:p w:rsidR="000E2262" w:rsidRDefault="000E2262" w:rsidP="0087315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Велась работа по оказанию методологической помощи органам местного самоуправления и бюджетным учреждениям района по применению норм бюджетного законодательства, по ведению и организации бухгалтерского учета.</w:t>
      </w:r>
    </w:p>
    <w:p w:rsidR="000E2262" w:rsidRDefault="000E2262" w:rsidP="0087315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своей деятельности сотрудники контрольно-ревизионной комиссии используют правовую систему </w:t>
      </w:r>
      <w:r>
        <w:rPr>
          <w:sz w:val="28"/>
          <w:szCs w:val="28"/>
        </w:rPr>
        <w:t>«</w:t>
      </w:r>
      <w:proofErr w:type="spellStart"/>
      <w:r>
        <w:rPr>
          <w:sz w:val="28"/>
          <w:szCs w:val="28"/>
        </w:rPr>
        <w:t>КонсультантПлюс</w:t>
      </w:r>
      <w:proofErr w:type="spellEnd"/>
      <w:r>
        <w:rPr>
          <w:sz w:val="28"/>
          <w:szCs w:val="28"/>
        </w:rPr>
        <w:t xml:space="preserve">», </w:t>
      </w:r>
      <w:r>
        <w:rPr>
          <w:rFonts w:ascii="Times New Roman CYR" w:hAnsi="Times New Roman CYR" w:cs="Times New Roman CYR"/>
          <w:sz w:val="28"/>
          <w:szCs w:val="28"/>
        </w:rPr>
        <w:t xml:space="preserve">информацию из сети </w:t>
      </w:r>
      <w:r>
        <w:rPr>
          <w:sz w:val="28"/>
          <w:szCs w:val="28"/>
        </w:rPr>
        <w:t xml:space="preserve">«Интернет», </w:t>
      </w:r>
      <w:r>
        <w:rPr>
          <w:rFonts w:ascii="Times New Roman CYR" w:hAnsi="Times New Roman CYR" w:cs="Times New Roman CYR"/>
          <w:sz w:val="28"/>
          <w:szCs w:val="28"/>
        </w:rPr>
        <w:t xml:space="preserve">в том числе официальных сайтов Счетной палаты России, Контрольно-счетной палаты Вологодской области. </w:t>
      </w:r>
    </w:p>
    <w:p w:rsidR="000E2262" w:rsidRDefault="000E2262" w:rsidP="00873154">
      <w:pPr>
        <w:autoSpaceDE w:val="0"/>
        <w:autoSpaceDN w:val="0"/>
        <w:adjustRightInd w:val="0"/>
        <w:ind w:firstLine="567"/>
        <w:jc w:val="both"/>
        <w:rPr>
          <w:sz w:val="28"/>
          <w:szCs w:val="28"/>
        </w:rPr>
      </w:pPr>
      <w:r>
        <w:rPr>
          <w:rFonts w:ascii="Times New Roman CYR" w:hAnsi="Times New Roman CYR" w:cs="Times New Roman CYR"/>
          <w:sz w:val="28"/>
          <w:szCs w:val="28"/>
        </w:rPr>
        <w:t xml:space="preserve">При проведении </w:t>
      </w:r>
      <w:r>
        <w:rPr>
          <w:sz w:val="28"/>
          <w:szCs w:val="28"/>
        </w:rPr>
        <w:t xml:space="preserve">проверок рассматривались и анализировались сведения, размещенные в единой информационной системе в сфере закупок на официальном сайте </w:t>
      </w:r>
      <w:hyperlink r:id="rId9" w:history="1">
        <w:r>
          <w:rPr>
            <w:rStyle w:val="af0"/>
            <w:sz w:val="28"/>
            <w:szCs w:val="28"/>
          </w:rPr>
          <w:t>www.zakupki.gov.ru</w:t>
        </w:r>
      </w:hyperlink>
      <w:r>
        <w:rPr>
          <w:sz w:val="28"/>
          <w:szCs w:val="28"/>
        </w:rPr>
        <w:t xml:space="preserve">, размещенной информации об Учреждении на официальном сайте в сети Интернет </w:t>
      </w:r>
      <w:hyperlink r:id="rId10" w:history="1">
        <w:r>
          <w:rPr>
            <w:rStyle w:val="af0"/>
            <w:sz w:val="28"/>
            <w:szCs w:val="28"/>
            <w:lang w:val="en-US"/>
          </w:rPr>
          <w:t>www</w:t>
        </w:r>
        <w:r>
          <w:rPr>
            <w:rStyle w:val="af0"/>
            <w:sz w:val="28"/>
            <w:szCs w:val="28"/>
          </w:rPr>
          <w:t>.</w:t>
        </w:r>
        <w:r>
          <w:rPr>
            <w:rStyle w:val="af0"/>
            <w:sz w:val="28"/>
            <w:szCs w:val="28"/>
            <w:lang w:val="en-US"/>
          </w:rPr>
          <w:t>bus</w:t>
        </w:r>
        <w:r>
          <w:rPr>
            <w:rStyle w:val="af0"/>
            <w:sz w:val="28"/>
            <w:szCs w:val="28"/>
          </w:rPr>
          <w:t>.</w:t>
        </w:r>
        <w:proofErr w:type="spellStart"/>
        <w:r>
          <w:rPr>
            <w:rStyle w:val="af0"/>
            <w:sz w:val="28"/>
            <w:szCs w:val="28"/>
            <w:lang w:val="en-US"/>
          </w:rPr>
          <w:t>gov</w:t>
        </w:r>
        <w:proofErr w:type="spellEnd"/>
      </w:hyperlink>
      <w:r>
        <w:rPr>
          <w:sz w:val="28"/>
          <w:szCs w:val="28"/>
        </w:rPr>
        <w:t xml:space="preserve">. </w:t>
      </w:r>
      <w:proofErr w:type="spellStart"/>
      <w:r>
        <w:rPr>
          <w:sz w:val="28"/>
          <w:szCs w:val="28"/>
          <w:lang w:val="en-US"/>
        </w:rPr>
        <w:t>ru</w:t>
      </w:r>
      <w:proofErr w:type="spellEnd"/>
      <w:r>
        <w:rPr>
          <w:sz w:val="28"/>
          <w:szCs w:val="28"/>
        </w:rPr>
        <w:t>.</w:t>
      </w:r>
    </w:p>
    <w:p w:rsidR="000E2262" w:rsidRDefault="000E2262" w:rsidP="000E2262">
      <w:pPr>
        <w:autoSpaceDE w:val="0"/>
        <w:autoSpaceDN w:val="0"/>
        <w:adjustRightInd w:val="0"/>
        <w:ind w:firstLine="567"/>
        <w:jc w:val="both"/>
        <w:rPr>
          <w:rFonts w:ascii="Times New Roman CYR" w:hAnsi="Times New Roman CYR" w:cs="Times New Roman CYR"/>
          <w:sz w:val="14"/>
          <w:szCs w:val="14"/>
        </w:rPr>
      </w:pPr>
    </w:p>
    <w:p w:rsidR="000E2262" w:rsidRDefault="000E2262" w:rsidP="000E2262">
      <w:pPr>
        <w:outlineLvl w:val="2"/>
        <w:rPr>
          <w:b/>
          <w:bCs/>
          <w:sz w:val="26"/>
          <w:szCs w:val="26"/>
        </w:rPr>
      </w:pPr>
      <w:r>
        <w:rPr>
          <w:b/>
          <w:bCs/>
          <w:sz w:val="26"/>
          <w:szCs w:val="26"/>
        </w:rPr>
        <w:t>7. Задачи на 2021 год</w:t>
      </w:r>
    </w:p>
    <w:p w:rsidR="000E2262" w:rsidRDefault="000E2262" w:rsidP="000E2262">
      <w:pPr>
        <w:ind w:firstLine="567"/>
        <w:jc w:val="both"/>
        <w:rPr>
          <w:sz w:val="14"/>
          <w:szCs w:val="14"/>
        </w:rPr>
      </w:pPr>
    </w:p>
    <w:p w:rsidR="000E2262" w:rsidRDefault="000E2262" w:rsidP="000E2262">
      <w:pPr>
        <w:ind w:firstLine="567"/>
        <w:jc w:val="both"/>
        <w:rPr>
          <w:sz w:val="28"/>
          <w:szCs w:val="28"/>
        </w:rPr>
      </w:pPr>
      <w:r>
        <w:rPr>
          <w:sz w:val="28"/>
          <w:szCs w:val="28"/>
        </w:rPr>
        <w:t>В 2021 году контрольно-ревизионной комиссией будет продолжена деятельность по осуществлению внешнего муниципального финансового контроля.</w:t>
      </w:r>
    </w:p>
    <w:p w:rsidR="000E2262" w:rsidRDefault="000E2262" w:rsidP="000E2262">
      <w:pPr>
        <w:ind w:firstLine="567"/>
        <w:jc w:val="both"/>
        <w:rPr>
          <w:sz w:val="28"/>
          <w:szCs w:val="28"/>
        </w:rPr>
      </w:pPr>
      <w:r>
        <w:rPr>
          <w:sz w:val="28"/>
          <w:szCs w:val="28"/>
        </w:rPr>
        <w:t>В план контрольных мероприятий включены проверки муниципального образования Городецкое, сельских поселений Енангское и Кичменгское, муниципальных учреждений.</w:t>
      </w:r>
    </w:p>
    <w:p w:rsidR="000E2262" w:rsidRDefault="000E2262" w:rsidP="000E2262">
      <w:pPr>
        <w:ind w:firstLine="567"/>
        <w:jc w:val="both"/>
        <w:rPr>
          <w:sz w:val="28"/>
          <w:szCs w:val="28"/>
        </w:rPr>
      </w:pPr>
      <w:r>
        <w:rPr>
          <w:sz w:val="28"/>
          <w:szCs w:val="28"/>
        </w:rPr>
        <w:t>Отдельные контрольные мероприятия посвящены аспектам использования межбюджетных трансфертов, выделяемых муниципальным образованиям.</w:t>
      </w:r>
    </w:p>
    <w:p w:rsidR="000E2262" w:rsidRDefault="000E2262" w:rsidP="000E2262">
      <w:pPr>
        <w:ind w:firstLine="567"/>
        <w:jc w:val="both"/>
        <w:rPr>
          <w:sz w:val="28"/>
          <w:szCs w:val="28"/>
        </w:rPr>
      </w:pPr>
      <w:r>
        <w:rPr>
          <w:sz w:val="28"/>
          <w:szCs w:val="28"/>
        </w:rPr>
        <w:t>В рамках контрольных мероприятий продолжится реализация полномочий КРК по аудиту муниципальных закупок, работа по анализу реализации муниципальных программ.</w:t>
      </w:r>
    </w:p>
    <w:p w:rsidR="00873154" w:rsidRDefault="000E2262" w:rsidP="00873154">
      <w:pPr>
        <w:ind w:firstLine="567"/>
        <w:jc w:val="both"/>
        <w:rPr>
          <w:sz w:val="28"/>
          <w:szCs w:val="28"/>
        </w:rPr>
      </w:pPr>
      <w:r>
        <w:rPr>
          <w:sz w:val="28"/>
          <w:szCs w:val="28"/>
        </w:rPr>
        <w:t>В ходе экспертно-аналитических мероприятий будут выполняться экспертизы проектов решений о районном бюджете и бюджетах сельских поселений, отчетов об их исполнении.</w:t>
      </w:r>
    </w:p>
    <w:p w:rsidR="000E2262" w:rsidRDefault="000E2262" w:rsidP="000E2262">
      <w:pPr>
        <w:autoSpaceDE w:val="0"/>
        <w:autoSpaceDN w:val="0"/>
        <w:adjustRightInd w:val="0"/>
        <w:jc w:val="both"/>
        <w:rPr>
          <w:rFonts w:eastAsiaTheme="minorHAnsi"/>
          <w:sz w:val="28"/>
          <w:szCs w:val="28"/>
          <w:highlight w:val="yellow"/>
          <w:lang w:eastAsia="en-US"/>
        </w:rPr>
      </w:pPr>
    </w:p>
    <w:p w:rsidR="000E2262" w:rsidRDefault="000E2262" w:rsidP="000E2262">
      <w:pPr>
        <w:autoSpaceDE w:val="0"/>
        <w:autoSpaceDN w:val="0"/>
        <w:adjustRightInd w:val="0"/>
        <w:jc w:val="both"/>
        <w:rPr>
          <w:sz w:val="28"/>
          <w:szCs w:val="28"/>
          <w:highlight w:val="yellow"/>
        </w:rPr>
      </w:pPr>
    </w:p>
    <w:p w:rsidR="000E2262" w:rsidRDefault="000E2262" w:rsidP="000E2262">
      <w:pPr>
        <w:autoSpaceDE w:val="0"/>
        <w:autoSpaceDN w:val="0"/>
        <w:adjustRightInd w:val="0"/>
        <w:jc w:val="both"/>
        <w:rPr>
          <w:sz w:val="28"/>
          <w:szCs w:val="28"/>
          <w:highlight w:val="yellow"/>
        </w:rPr>
      </w:pPr>
    </w:p>
    <w:p w:rsidR="0023398E" w:rsidRDefault="0023398E" w:rsidP="00BB6625">
      <w:pPr>
        <w:rPr>
          <w:sz w:val="28"/>
          <w:szCs w:val="28"/>
        </w:rPr>
      </w:pPr>
    </w:p>
    <w:sectPr w:rsidR="0023398E" w:rsidSect="00AC4BB4">
      <w:headerReference w:type="defaul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3F" w:rsidRDefault="00AB4A3F" w:rsidP="006B1A05">
      <w:r>
        <w:separator/>
      </w:r>
    </w:p>
  </w:endnote>
  <w:endnote w:type="continuationSeparator" w:id="0">
    <w:p w:rsidR="00AB4A3F" w:rsidRDefault="00AB4A3F"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3F" w:rsidRDefault="00AB4A3F" w:rsidP="006B1A05">
      <w:r>
        <w:separator/>
      </w:r>
    </w:p>
  </w:footnote>
  <w:footnote w:type="continuationSeparator" w:id="0">
    <w:p w:rsidR="00AB4A3F" w:rsidRDefault="00AB4A3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E794D" w:rsidRDefault="00BB3723">
        <w:pPr>
          <w:pStyle w:val="a8"/>
          <w:jc w:val="center"/>
        </w:pPr>
        <w:fldSimple w:instr=" PAGE   \* MERGEFORMAT ">
          <w:r w:rsidR="00680CB9">
            <w:rPr>
              <w:noProof/>
            </w:rPr>
            <w:t>10</w:t>
          </w:r>
        </w:fldSimple>
      </w:p>
    </w:sdtContent>
  </w:sdt>
  <w:p w:rsidR="005E794D" w:rsidRDefault="005E79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093"/>
    <w:multiLevelType w:val="hybridMultilevel"/>
    <w:tmpl w:val="BDA4C848"/>
    <w:lvl w:ilvl="0" w:tplc="E7D6ABD0">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452E42AC"/>
    <w:multiLevelType w:val="hybridMultilevel"/>
    <w:tmpl w:val="5BD458CE"/>
    <w:lvl w:ilvl="0" w:tplc="57EA25D0">
      <w:start w:val="1"/>
      <w:numFmt w:val="decimal"/>
      <w:lvlText w:val="%1."/>
      <w:lvlJc w:val="left"/>
      <w:pPr>
        <w:ind w:left="1035" w:hanging="36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171250"/>
    <w:multiLevelType w:val="multilevel"/>
    <w:tmpl w:val="68589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5352A6"/>
    <w:multiLevelType w:val="multilevel"/>
    <w:tmpl w:val="1E142BF6"/>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956"/>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0B9"/>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22C"/>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8A1"/>
    <w:rsid w:val="00057AF4"/>
    <w:rsid w:val="00057B0B"/>
    <w:rsid w:val="00057DEE"/>
    <w:rsid w:val="00060066"/>
    <w:rsid w:val="0006011D"/>
    <w:rsid w:val="00060470"/>
    <w:rsid w:val="000609E5"/>
    <w:rsid w:val="00060A5D"/>
    <w:rsid w:val="00060FEB"/>
    <w:rsid w:val="000615A3"/>
    <w:rsid w:val="0006167E"/>
    <w:rsid w:val="00061850"/>
    <w:rsid w:val="00061AB2"/>
    <w:rsid w:val="00061D67"/>
    <w:rsid w:val="00061E14"/>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4AB"/>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05"/>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2FED"/>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0A0"/>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1FD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62"/>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17F"/>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C97"/>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1DDC"/>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9C3"/>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7C"/>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0C"/>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49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3DD5"/>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7"/>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398E"/>
    <w:rsid w:val="00234009"/>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EA3"/>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AEC"/>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45E"/>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0F87"/>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C92"/>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AC1"/>
    <w:rsid w:val="002E0BC3"/>
    <w:rsid w:val="002E0D2E"/>
    <w:rsid w:val="002E0F55"/>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4B2"/>
    <w:rsid w:val="00352817"/>
    <w:rsid w:val="0035298A"/>
    <w:rsid w:val="0035299B"/>
    <w:rsid w:val="003530E8"/>
    <w:rsid w:val="003531EE"/>
    <w:rsid w:val="00353533"/>
    <w:rsid w:val="003536CD"/>
    <w:rsid w:val="00353C4A"/>
    <w:rsid w:val="00353ED5"/>
    <w:rsid w:val="00353FB4"/>
    <w:rsid w:val="003544E6"/>
    <w:rsid w:val="00354539"/>
    <w:rsid w:val="00354628"/>
    <w:rsid w:val="00354BF9"/>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5D2A"/>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3C9"/>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230"/>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1AE"/>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57C"/>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DE6"/>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4C4"/>
    <w:rsid w:val="0046084E"/>
    <w:rsid w:val="00460A7E"/>
    <w:rsid w:val="00461099"/>
    <w:rsid w:val="004611B2"/>
    <w:rsid w:val="004611CE"/>
    <w:rsid w:val="004614BB"/>
    <w:rsid w:val="00461C7D"/>
    <w:rsid w:val="00461D6F"/>
    <w:rsid w:val="00462797"/>
    <w:rsid w:val="00462B26"/>
    <w:rsid w:val="00462F12"/>
    <w:rsid w:val="004632C6"/>
    <w:rsid w:val="004633D9"/>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0DE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3E22"/>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5B70"/>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35E"/>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780"/>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49D"/>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590"/>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6D62"/>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B9C"/>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8FF"/>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005"/>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94D"/>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6B74"/>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16F"/>
    <w:rsid w:val="006132A5"/>
    <w:rsid w:val="006132EF"/>
    <w:rsid w:val="00613541"/>
    <w:rsid w:val="006137FE"/>
    <w:rsid w:val="00613B5A"/>
    <w:rsid w:val="00613F3E"/>
    <w:rsid w:val="00614764"/>
    <w:rsid w:val="00614C17"/>
    <w:rsid w:val="0061564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A61"/>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6F69"/>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2860"/>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70C"/>
    <w:rsid w:val="0066381B"/>
    <w:rsid w:val="0066384D"/>
    <w:rsid w:val="00664110"/>
    <w:rsid w:val="006643E7"/>
    <w:rsid w:val="00664460"/>
    <w:rsid w:val="006647B7"/>
    <w:rsid w:val="0066497F"/>
    <w:rsid w:val="0066498F"/>
    <w:rsid w:val="00664A3F"/>
    <w:rsid w:val="00664C21"/>
    <w:rsid w:val="0066515C"/>
    <w:rsid w:val="006653F5"/>
    <w:rsid w:val="006654C0"/>
    <w:rsid w:val="006655A8"/>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74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CB9"/>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11"/>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EF1"/>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98D"/>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AFE"/>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260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429"/>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1D90"/>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4F2"/>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1B"/>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539"/>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0E4"/>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C0"/>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789"/>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19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154"/>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A80"/>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29D6"/>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CED"/>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DD1"/>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5D47"/>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6C1"/>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1F9"/>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7F8"/>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393"/>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5EE2"/>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34C"/>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A6D"/>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1CB"/>
    <w:rsid w:val="00A17485"/>
    <w:rsid w:val="00A17995"/>
    <w:rsid w:val="00A17C20"/>
    <w:rsid w:val="00A20075"/>
    <w:rsid w:val="00A204B9"/>
    <w:rsid w:val="00A208D4"/>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0FD"/>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38E"/>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776"/>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B9B"/>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3F36"/>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A8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A3F"/>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BB4"/>
    <w:rsid w:val="00AC4C12"/>
    <w:rsid w:val="00AC4C26"/>
    <w:rsid w:val="00AC534E"/>
    <w:rsid w:val="00AC59E8"/>
    <w:rsid w:val="00AC5A2D"/>
    <w:rsid w:val="00AC5D2F"/>
    <w:rsid w:val="00AC5DE3"/>
    <w:rsid w:val="00AC62BA"/>
    <w:rsid w:val="00AC643F"/>
    <w:rsid w:val="00AC66DA"/>
    <w:rsid w:val="00AC6EAB"/>
    <w:rsid w:val="00AC6F86"/>
    <w:rsid w:val="00AC710A"/>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D78"/>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83D"/>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5EB6"/>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085C"/>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6FDE"/>
    <w:rsid w:val="00B2771B"/>
    <w:rsid w:val="00B27A0E"/>
    <w:rsid w:val="00B27AE1"/>
    <w:rsid w:val="00B30021"/>
    <w:rsid w:val="00B30047"/>
    <w:rsid w:val="00B30229"/>
    <w:rsid w:val="00B304A1"/>
    <w:rsid w:val="00B305F8"/>
    <w:rsid w:val="00B308DD"/>
    <w:rsid w:val="00B308F8"/>
    <w:rsid w:val="00B31343"/>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3DF"/>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3"/>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625"/>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0D38"/>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C93"/>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2FA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5F99"/>
    <w:rsid w:val="00C265D1"/>
    <w:rsid w:val="00C26732"/>
    <w:rsid w:val="00C26783"/>
    <w:rsid w:val="00C268F7"/>
    <w:rsid w:val="00C26E27"/>
    <w:rsid w:val="00C26E47"/>
    <w:rsid w:val="00C270AA"/>
    <w:rsid w:val="00C27339"/>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3D54"/>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BB9"/>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0A6"/>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0E66"/>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C3E"/>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97B"/>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835"/>
    <w:rsid w:val="00D13978"/>
    <w:rsid w:val="00D13E34"/>
    <w:rsid w:val="00D146CA"/>
    <w:rsid w:val="00D14C22"/>
    <w:rsid w:val="00D14EAD"/>
    <w:rsid w:val="00D155DE"/>
    <w:rsid w:val="00D15A2F"/>
    <w:rsid w:val="00D15A43"/>
    <w:rsid w:val="00D15A89"/>
    <w:rsid w:val="00D15C29"/>
    <w:rsid w:val="00D15D9D"/>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00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0EC"/>
    <w:rsid w:val="00D427BD"/>
    <w:rsid w:val="00D427C0"/>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568"/>
    <w:rsid w:val="00D9163A"/>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DD1"/>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BA6"/>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1F35"/>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BB3"/>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986"/>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3EB"/>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AB7"/>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491"/>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A73"/>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4FAA"/>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484"/>
    <w:rsid w:val="00F03786"/>
    <w:rsid w:val="00F03906"/>
    <w:rsid w:val="00F0399E"/>
    <w:rsid w:val="00F040DA"/>
    <w:rsid w:val="00F04129"/>
    <w:rsid w:val="00F04268"/>
    <w:rsid w:val="00F04853"/>
    <w:rsid w:val="00F048D2"/>
    <w:rsid w:val="00F04FF1"/>
    <w:rsid w:val="00F050E3"/>
    <w:rsid w:val="00F053B4"/>
    <w:rsid w:val="00F0568C"/>
    <w:rsid w:val="00F05745"/>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D1F"/>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89E"/>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A22"/>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75E"/>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080"/>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0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E13"/>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link w:val="afd"/>
    <w:qFormat/>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e">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f">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0">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1">
    <w:name w:val="Plain Text"/>
    <w:basedOn w:val="a"/>
    <w:link w:val="aff2"/>
    <w:rsid w:val="000108DC"/>
    <w:rPr>
      <w:rFonts w:ascii="Courier New" w:hAnsi="Courier New"/>
      <w:sz w:val="20"/>
      <w:szCs w:val="20"/>
    </w:rPr>
  </w:style>
  <w:style w:type="character" w:customStyle="1" w:styleId="aff2">
    <w:name w:val="Текст Знак"/>
    <w:basedOn w:val="a0"/>
    <w:link w:val="aff1"/>
    <w:rsid w:val="000108DC"/>
    <w:rPr>
      <w:rFonts w:ascii="Courier New" w:eastAsia="Times New Roman" w:hAnsi="Courier New" w:cs="Times New Roman"/>
      <w:sz w:val="20"/>
      <w:szCs w:val="20"/>
      <w:lang w:eastAsia="ru-RU"/>
    </w:rPr>
  </w:style>
  <w:style w:type="character" w:customStyle="1" w:styleId="aff3">
    <w:name w:val="основ_текст"/>
    <w:basedOn w:val="a0"/>
    <w:rsid w:val="000108DC"/>
  </w:style>
  <w:style w:type="paragraph" w:customStyle="1" w:styleId="aff4">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uiPriority w:val="99"/>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5">
    <w:name w:val="Основной текст_"/>
    <w:link w:val="71"/>
    <w:rsid w:val="000108DC"/>
    <w:rPr>
      <w:sz w:val="27"/>
      <w:szCs w:val="27"/>
      <w:shd w:val="clear" w:color="auto" w:fill="FFFFFF"/>
    </w:rPr>
  </w:style>
  <w:style w:type="character" w:customStyle="1" w:styleId="aff6">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5"/>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qForma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7">
    <w:name w:val="Strong"/>
    <w:basedOn w:val="a0"/>
    <w:uiPriority w:val="22"/>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8">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9">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a">
    <w:name w:val="Цветовое выделение"/>
    <w:rsid w:val="00CF0B3A"/>
    <w:rPr>
      <w:b/>
      <w:bCs w:val="0"/>
      <w:color w:val="26282F"/>
    </w:rPr>
  </w:style>
  <w:style w:type="paragraph" w:customStyle="1" w:styleId="16">
    <w:name w:val="Знак1"/>
    <w:basedOn w:val="a"/>
    <w:rsid w:val="001C3492"/>
    <w:pPr>
      <w:spacing w:before="100" w:beforeAutospacing="1" w:after="100" w:afterAutospacing="1"/>
    </w:pPr>
    <w:rPr>
      <w:rFonts w:ascii="Tahoma" w:hAnsi="Tahoma"/>
      <w:sz w:val="20"/>
      <w:szCs w:val="20"/>
      <w:lang w:val="en-US" w:eastAsia="en-US"/>
    </w:rPr>
  </w:style>
  <w:style w:type="paragraph" w:customStyle="1" w:styleId="font5">
    <w:name w:val="font5"/>
    <w:basedOn w:val="a"/>
    <w:rsid w:val="001C3492"/>
    <w:pPr>
      <w:spacing w:before="100" w:beforeAutospacing="1" w:after="100" w:afterAutospacing="1"/>
    </w:pPr>
  </w:style>
  <w:style w:type="character" w:styleId="affb">
    <w:name w:val="Emphasis"/>
    <w:qFormat/>
    <w:rsid w:val="002E0F55"/>
    <w:rPr>
      <w:i/>
      <w:iCs/>
    </w:rPr>
  </w:style>
  <w:style w:type="character" w:customStyle="1" w:styleId="afd">
    <w:name w:val="Обычный (веб) Знак"/>
    <w:link w:val="afc"/>
    <w:locked/>
    <w:rsid w:val="000E2262"/>
    <w:rPr>
      <w:rFonts w:eastAsia="Times New Roman" w:cs="Times New Roman"/>
      <w:sz w:val="24"/>
      <w:szCs w:val="24"/>
      <w:lang w:eastAsia="ru-RU"/>
    </w:rPr>
  </w:style>
  <w:style w:type="character" w:customStyle="1" w:styleId="FontStyle11">
    <w:name w:val="Font Style11"/>
    <w:basedOn w:val="a0"/>
    <w:rsid w:val="000E2262"/>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320425966">
      <w:bodyDiv w:val="1"/>
      <w:marLeft w:val="0"/>
      <w:marRight w:val="0"/>
      <w:marTop w:val="0"/>
      <w:marBottom w:val="0"/>
      <w:divBdr>
        <w:top w:val="none" w:sz="0" w:space="0" w:color="auto"/>
        <w:left w:val="none" w:sz="0" w:space="0" w:color="auto"/>
        <w:bottom w:val="none" w:sz="0" w:space="0" w:color="auto"/>
        <w:right w:val="none" w:sz="0" w:space="0" w:color="auto"/>
      </w:divBdr>
    </w:div>
    <w:div w:id="376587948">
      <w:bodyDiv w:val="1"/>
      <w:marLeft w:val="0"/>
      <w:marRight w:val="0"/>
      <w:marTop w:val="0"/>
      <w:marBottom w:val="0"/>
      <w:divBdr>
        <w:top w:val="none" w:sz="0" w:space="0" w:color="auto"/>
        <w:left w:val="none" w:sz="0" w:space="0" w:color="auto"/>
        <w:bottom w:val="none" w:sz="0" w:space="0" w:color="auto"/>
        <w:right w:val="none" w:sz="0" w:space="0" w:color="auto"/>
      </w:divBdr>
    </w:div>
    <w:div w:id="998731473">
      <w:bodyDiv w:val="1"/>
      <w:marLeft w:val="0"/>
      <w:marRight w:val="0"/>
      <w:marTop w:val="0"/>
      <w:marBottom w:val="0"/>
      <w:divBdr>
        <w:top w:val="none" w:sz="0" w:space="0" w:color="auto"/>
        <w:left w:val="none" w:sz="0" w:space="0" w:color="auto"/>
        <w:bottom w:val="none" w:sz="0" w:space="0" w:color="auto"/>
        <w:right w:val="none" w:sz="0" w:space="0" w:color="auto"/>
      </w:divBdr>
    </w:div>
    <w:div w:id="1025210400">
      <w:bodyDiv w:val="1"/>
      <w:marLeft w:val="0"/>
      <w:marRight w:val="0"/>
      <w:marTop w:val="0"/>
      <w:marBottom w:val="0"/>
      <w:divBdr>
        <w:top w:val="none" w:sz="0" w:space="0" w:color="auto"/>
        <w:left w:val="none" w:sz="0" w:space="0" w:color="auto"/>
        <w:bottom w:val="none" w:sz="0" w:space="0" w:color="auto"/>
        <w:right w:val="none" w:sz="0" w:space="0" w:color="auto"/>
      </w:divBdr>
    </w:div>
    <w:div w:id="1078212143">
      <w:bodyDiv w:val="1"/>
      <w:marLeft w:val="0"/>
      <w:marRight w:val="0"/>
      <w:marTop w:val="0"/>
      <w:marBottom w:val="0"/>
      <w:divBdr>
        <w:top w:val="none" w:sz="0" w:space="0" w:color="auto"/>
        <w:left w:val="none" w:sz="0" w:space="0" w:color="auto"/>
        <w:bottom w:val="none" w:sz="0" w:space="0" w:color="auto"/>
        <w:right w:val="none" w:sz="0" w:space="0" w:color="auto"/>
      </w:divBdr>
    </w:div>
    <w:div w:id="1318341616">
      <w:bodyDiv w:val="1"/>
      <w:marLeft w:val="0"/>
      <w:marRight w:val="0"/>
      <w:marTop w:val="0"/>
      <w:marBottom w:val="0"/>
      <w:divBdr>
        <w:top w:val="none" w:sz="0" w:space="0" w:color="auto"/>
        <w:left w:val="none" w:sz="0" w:space="0" w:color="auto"/>
        <w:bottom w:val="none" w:sz="0" w:space="0" w:color="auto"/>
        <w:right w:val="none" w:sz="0" w:space="0" w:color="auto"/>
      </w:divBdr>
    </w:div>
    <w:div w:id="1451893733">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1759133450">
      <w:bodyDiv w:val="1"/>
      <w:marLeft w:val="0"/>
      <w:marRight w:val="0"/>
      <w:marTop w:val="0"/>
      <w:marBottom w:val="0"/>
      <w:divBdr>
        <w:top w:val="none" w:sz="0" w:space="0" w:color="auto"/>
        <w:left w:val="none" w:sz="0" w:space="0" w:color="auto"/>
        <w:bottom w:val="none" w:sz="0" w:space="0" w:color="auto"/>
        <w:right w:val="none" w:sz="0" w:space="0" w:color="auto"/>
      </w:divBdr>
    </w:div>
    <w:div w:id="20735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57E5-8D43-458B-94A1-AF06E51A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1-MC</cp:lastModifiedBy>
  <cp:revision>2</cp:revision>
  <cp:lastPrinted>2021-04-01T10:08:00Z</cp:lastPrinted>
  <dcterms:created xsi:type="dcterms:W3CDTF">2021-04-01T12:48:00Z</dcterms:created>
  <dcterms:modified xsi:type="dcterms:W3CDTF">2021-04-01T12:48:00Z</dcterms:modified>
</cp:coreProperties>
</file>