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71" w:rsidRPr="009A6F72" w:rsidRDefault="00416871" w:rsidP="000A3DFE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9A6F72">
        <w:rPr>
          <w:rFonts w:ascii="Times New Roman" w:hAnsi="Times New Roman" w:cs="Times New Roman"/>
          <w:sz w:val="24"/>
          <w:szCs w:val="24"/>
        </w:rPr>
        <w:t>ЛЕНИНСКАЯ  РАЙОННАЯ ДУМА</w:t>
      </w:r>
    </w:p>
    <w:p w:rsidR="00416871" w:rsidRPr="009A6F72" w:rsidRDefault="00416871" w:rsidP="00416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F72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416871" w:rsidRPr="009A6F72" w:rsidRDefault="00416871" w:rsidP="00416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871" w:rsidRPr="009A6F72" w:rsidRDefault="000C78F9" w:rsidP="004168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78F9">
        <w:rPr>
          <w:rFonts w:ascii="Times New Roman" w:hAnsi="Times New Roman" w:cs="Times New Roman"/>
          <w:sz w:val="24"/>
          <w:szCs w:val="24"/>
        </w:rPr>
        <w:pict>
          <v:line id="Прямая соединительная линия 1" o:spid="_x0000_s1026" style="position:absolute;z-index:251658240;visibility:visible" from="-6pt,20.05pt" to="476.4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" o:allowincell="f" strokecolor="#737373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416871" w:rsidRPr="009A6F72">
        <w:rPr>
          <w:rFonts w:ascii="Times New Roman" w:hAnsi="Times New Roman" w:cs="Times New Roman"/>
          <w:sz w:val="24"/>
          <w:szCs w:val="24"/>
        </w:rPr>
        <w:t>404620, г. Ленинск, ул. Ленина, 209</w:t>
      </w:r>
      <w:r w:rsidR="00416871" w:rsidRPr="009A6F72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</w:t>
      </w:r>
    </w:p>
    <w:p w:rsidR="00416871" w:rsidRPr="009A6F72" w:rsidRDefault="00416871" w:rsidP="00416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871" w:rsidRPr="009A6F72" w:rsidRDefault="00416871" w:rsidP="0041687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A6F7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Pr="009A6F7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A6F72">
        <w:rPr>
          <w:rFonts w:ascii="Times New Roman" w:hAnsi="Times New Roman" w:cs="Times New Roman"/>
          <w:sz w:val="24"/>
          <w:szCs w:val="24"/>
        </w:rPr>
        <w:t xml:space="preserve"> Е Ш Е Н И Е </w:t>
      </w:r>
    </w:p>
    <w:p w:rsidR="00416871" w:rsidRPr="009A6F72" w:rsidRDefault="00416871" w:rsidP="0041687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16871" w:rsidRPr="009A6F72" w:rsidRDefault="00416871" w:rsidP="0041687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A6F72">
        <w:rPr>
          <w:rFonts w:ascii="Times New Roman" w:hAnsi="Times New Roman" w:cs="Times New Roman"/>
          <w:sz w:val="24"/>
          <w:szCs w:val="24"/>
        </w:rPr>
        <w:t xml:space="preserve"> </w:t>
      </w:r>
      <w:r w:rsidR="004D0AE8">
        <w:rPr>
          <w:rFonts w:ascii="Times New Roman" w:hAnsi="Times New Roman" w:cs="Times New Roman"/>
          <w:sz w:val="24"/>
          <w:szCs w:val="24"/>
        </w:rPr>
        <w:t>от</w:t>
      </w:r>
      <w:r w:rsidRPr="009A6F72">
        <w:rPr>
          <w:rFonts w:ascii="Times New Roman" w:hAnsi="Times New Roman" w:cs="Times New Roman"/>
          <w:sz w:val="24"/>
          <w:szCs w:val="24"/>
        </w:rPr>
        <w:t xml:space="preserve"> </w:t>
      </w:r>
      <w:r w:rsidR="00C83694" w:rsidRPr="009A6F72">
        <w:rPr>
          <w:rFonts w:ascii="Times New Roman" w:hAnsi="Times New Roman" w:cs="Times New Roman"/>
          <w:sz w:val="24"/>
          <w:szCs w:val="24"/>
        </w:rPr>
        <w:t xml:space="preserve">28 апреля 2021 </w:t>
      </w:r>
      <w:r w:rsidRPr="009A6F72">
        <w:rPr>
          <w:rFonts w:ascii="Times New Roman" w:hAnsi="Times New Roman" w:cs="Times New Roman"/>
          <w:sz w:val="24"/>
          <w:szCs w:val="24"/>
        </w:rPr>
        <w:t xml:space="preserve">г.  </w:t>
      </w:r>
      <w:r w:rsidR="00A04EF4" w:rsidRPr="009A6F7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97AF5" w:rsidRPr="009A6F7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04EF4" w:rsidRPr="009A6F7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83694" w:rsidRPr="009A6F72">
        <w:rPr>
          <w:rFonts w:ascii="Times New Roman" w:hAnsi="Times New Roman" w:cs="Times New Roman"/>
          <w:sz w:val="24"/>
          <w:szCs w:val="24"/>
        </w:rPr>
        <w:t xml:space="preserve">       </w:t>
      </w:r>
      <w:r w:rsidR="00A04EF4" w:rsidRPr="009A6F72">
        <w:rPr>
          <w:rFonts w:ascii="Times New Roman" w:hAnsi="Times New Roman" w:cs="Times New Roman"/>
          <w:sz w:val="24"/>
          <w:szCs w:val="24"/>
        </w:rPr>
        <w:t xml:space="preserve">    </w:t>
      </w:r>
      <w:r w:rsidRPr="009A6F72">
        <w:rPr>
          <w:rFonts w:ascii="Times New Roman" w:hAnsi="Times New Roman" w:cs="Times New Roman"/>
          <w:sz w:val="24"/>
          <w:szCs w:val="24"/>
        </w:rPr>
        <w:t xml:space="preserve">№  </w:t>
      </w:r>
      <w:r w:rsidR="00C83694" w:rsidRPr="009A6F72">
        <w:rPr>
          <w:rFonts w:ascii="Times New Roman" w:hAnsi="Times New Roman" w:cs="Times New Roman"/>
          <w:sz w:val="24"/>
          <w:szCs w:val="24"/>
        </w:rPr>
        <w:t>5/14</w:t>
      </w:r>
    </w:p>
    <w:p w:rsidR="00416871" w:rsidRPr="009A6F72" w:rsidRDefault="00416871" w:rsidP="0041687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EE1B2B" w:rsidRPr="009A6F72" w:rsidRDefault="00EE1B2B" w:rsidP="000A3DFE">
      <w:pPr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9A6F72">
        <w:rPr>
          <w:rFonts w:ascii="Times New Roman" w:hAnsi="Times New Roman" w:cs="Times New Roman"/>
          <w:sz w:val="24"/>
          <w:szCs w:val="24"/>
        </w:rPr>
        <w:t>Об утверждении значений коэффициентов дифференциации по видам деятельности арендатора земельного участка из категории земель сельскохозяйственного назначения на территории Ленинского муниципального района Волгоградской области</w:t>
      </w:r>
    </w:p>
    <w:p w:rsidR="00EE1B2B" w:rsidRPr="009A6F72" w:rsidRDefault="00EE1B2B" w:rsidP="000A3DFE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F72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Волгоградской области от 22.08.2011 г. № 469-п «Об утверждении порядка расчета арендной платы за земельные участки, государственная собственность на которые не разграничена, и земельные участки, находящиеся в собственности Волгоградской области, предоставленные в аренду без торгов», Распоряжением Комитета по управлению государственным имуществом Волгоградской области от 21.04.2021 № 871-р «О согласовании администрации Ленинского муниципального района Волгоградской области значений коэффициентов</w:t>
      </w:r>
      <w:proofErr w:type="gramEnd"/>
      <w:r w:rsidRPr="009A6F72">
        <w:rPr>
          <w:rFonts w:ascii="Times New Roman" w:hAnsi="Times New Roman" w:cs="Times New Roman"/>
          <w:sz w:val="24"/>
          <w:szCs w:val="24"/>
        </w:rPr>
        <w:t xml:space="preserve"> дифференциации по видам деятельности арендатора земельного участка из категории земель сельскохозяйственного назначения»,  руководствуясь Уставом Ленинского муниципального района Волгоградской области, Ленинская рай</w:t>
      </w:r>
      <w:r w:rsidR="00460601">
        <w:rPr>
          <w:rFonts w:ascii="Times New Roman" w:hAnsi="Times New Roman" w:cs="Times New Roman"/>
          <w:sz w:val="24"/>
          <w:szCs w:val="24"/>
        </w:rPr>
        <w:t>онная Дума</w:t>
      </w:r>
    </w:p>
    <w:p w:rsidR="00EE1B2B" w:rsidRPr="009A6F72" w:rsidRDefault="00EE1B2B" w:rsidP="000A3DFE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9A6F72">
        <w:rPr>
          <w:rFonts w:ascii="Times New Roman" w:hAnsi="Times New Roman" w:cs="Times New Roman"/>
          <w:sz w:val="24"/>
          <w:szCs w:val="24"/>
        </w:rPr>
        <w:t>РЕШИЛА:</w:t>
      </w:r>
    </w:p>
    <w:p w:rsidR="00EE1B2B" w:rsidRPr="009A6F72" w:rsidRDefault="00EE1B2B" w:rsidP="000A3DFE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9A6F72">
        <w:rPr>
          <w:rFonts w:ascii="Times New Roman" w:hAnsi="Times New Roman" w:cs="Times New Roman"/>
          <w:sz w:val="24"/>
          <w:szCs w:val="24"/>
        </w:rPr>
        <w:t>1. Утвердить значения коэффициентов дифференциации по видам деятельности арендатора земельного участка из категории земель сельскохозяйственного назначения на территории Ленинского муниципального района Волгоградской области (КДС) согласно приложению 1.</w:t>
      </w:r>
    </w:p>
    <w:p w:rsidR="00EE1B2B" w:rsidRPr="009A6F72" w:rsidRDefault="00EE1B2B" w:rsidP="000A3DFE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9A6F72">
        <w:rPr>
          <w:rFonts w:ascii="Times New Roman" w:hAnsi="Times New Roman" w:cs="Times New Roman"/>
          <w:sz w:val="24"/>
          <w:szCs w:val="24"/>
        </w:rPr>
        <w:t xml:space="preserve">2. Признать утратившим силу пункт 2 Решения Ленинской районной Думы от 25.02.2016 г. №25/93 «Об утверждении значений коэффициентов, применяемых для расчета арендной платы за земельные участки на территории Ленинского муниципального района Волгоградской области.    </w:t>
      </w:r>
    </w:p>
    <w:p w:rsidR="00EE1B2B" w:rsidRPr="009A6F72" w:rsidRDefault="00EE1B2B" w:rsidP="000A3DFE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9A6F72"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его официального опубликования и распространяет свое действие на правоотношения с 1 января 2021 г.</w:t>
      </w:r>
    </w:p>
    <w:p w:rsidR="009A6F72" w:rsidRPr="009A6F72" w:rsidRDefault="009A6F72" w:rsidP="000A3DFE">
      <w:pPr>
        <w:tabs>
          <w:tab w:val="left" w:pos="1995"/>
        </w:tabs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9A6F72" w:rsidRPr="009A6F72" w:rsidRDefault="009A6F72" w:rsidP="000A3DFE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9A6F7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9A6F72">
        <w:rPr>
          <w:rFonts w:ascii="Times New Roman" w:hAnsi="Times New Roman" w:cs="Times New Roman"/>
          <w:sz w:val="24"/>
          <w:szCs w:val="24"/>
        </w:rPr>
        <w:t>Ленинского</w:t>
      </w:r>
      <w:proofErr w:type="gramEnd"/>
    </w:p>
    <w:p w:rsidR="009A6F72" w:rsidRPr="009A6F72" w:rsidRDefault="009A6F72" w:rsidP="000A3DFE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9A6F72"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                      А.В. Денисов</w:t>
      </w:r>
    </w:p>
    <w:p w:rsidR="009A6F72" w:rsidRPr="009A6F72" w:rsidRDefault="009A6F72" w:rsidP="000A3DFE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9A6F72" w:rsidRPr="009A6F72" w:rsidRDefault="009A6F72" w:rsidP="000A3DFE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9A6F72">
        <w:rPr>
          <w:rFonts w:ascii="Times New Roman" w:hAnsi="Times New Roman" w:cs="Times New Roman"/>
          <w:sz w:val="24"/>
          <w:szCs w:val="24"/>
        </w:rPr>
        <w:t>Председатель Ленинской районной Думы                                                         Н.В. Корнее</w:t>
      </w:r>
      <w:r>
        <w:rPr>
          <w:rFonts w:ascii="Times New Roman" w:hAnsi="Times New Roman" w:cs="Times New Roman"/>
          <w:sz w:val="24"/>
          <w:szCs w:val="24"/>
        </w:rPr>
        <w:t>ва</w:t>
      </w:r>
    </w:p>
    <w:p w:rsidR="008F45B3" w:rsidRPr="008F45B3" w:rsidRDefault="008F45B3" w:rsidP="000A3DFE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hAnsi="Times New Roman" w:cs="Times New Roman"/>
        </w:rPr>
      </w:pPr>
    </w:p>
    <w:p w:rsidR="008F45B3" w:rsidRPr="008F45B3" w:rsidRDefault="008F45B3" w:rsidP="000A3DFE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hAnsi="Times New Roman" w:cs="Times New Roman"/>
        </w:rPr>
      </w:pPr>
    </w:p>
    <w:p w:rsidR="008F45B3" w:rsidRPr="008F45B3" w:rsidRDefault="008F45B3" w:rsidP="000A3DFE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hAnsi="Times New Roman" w:cs="Times New Roman"/>
        </w:rPr>
      </w:pPr>
      <w:r w:rsidRPr="008F45B3">
        <w:rPr>
          <w:rFonts w:ascii="Times New Roman" w:hAnsi="Times New Roman" w:cs="Times New Roman"/>
        </w:rPr>
        <w:t>Приложение N 1</w:t>
      </w:r>
    </w:p>
    <w:p w:rsidR="008F45B3" w:rsidRPr="008F45B3" w:rsidRDefault="008F45B3" w:rsidP="000A3DFE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hAnsi="Times New Roman" w:cs="Times New Roman"/>
        </w:rPr>
      </w:pPr>
      <w:r w:rsidRPr="008F45B3">
        <w:rPr>
          <w:rFonts w:ascii="Times New Roman" w:hAnsi="Times New Roman" w:cs="Times New Roman"/>
        </w:rPr>
        <w:t xml:space="preserve">                                         к Решению Ленинской районной Думы</w:t>
      </w:r>
    </w:p>
    <w:p w:rsidR="008F45B3" w:rsidRPr="008F45B3" w:rsidRDefault="008F45B3" w:rsidP="000A3DFE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hAnsi="Times New Roman" w:cs="Times New Roman"/>
        </w:rPr>
      </w:pPr>
      <w:r w:rsidRPr="008F45B3">
        <w:rPr>
          <w:rFonts w:ascii="Times New Roman" w:hAnsi="Times New Roman" w:cs="Times New Roman"/>
        </w:rPr>
        <w:t>Волгоградской области</w:t>
      </w:r>
    </w:p>
    <w:p w:rsidR="008F45B3" w:rsidRPr="008F45B3" w:rsidRDefault="008F45B3" w:rsidP="000A3DFE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hAnsi="Times New Roman" w:cs="Times New Roman"/>
        </w:rPr>
      </w:pPr>
      <w:r w:rsidRPr="008F45B3">
        <w:rPr>
          <w:rFonts w:ascii="Times New Roman" w:hAnsi="Times New Roman" w:cs="Times New Roman"/>
        </w:rPr>
        <w:t xml:space="preserve">                                                       от 28.04.2021 N 5/14</w:t>
      </w:r>
    </w:p>
    <w:p w:rsidR="008F45B3" w:rsidRPr="008F45B3" w:rsidRDefault="008F45B3" w:rsidP="000A3DFE">
      <w:pPr>
        <w:ind w:right="141"/>
        <w:jc w:val="center"/>
        <w:rPr>
          <w:rFonts w:ascii="Times New Roman" w:hAnsi="Times New Roman" w:cs="Times New Roman"/>
          <w:sz w:val="32"/>
          <w:szCs w:val="32"/>
        </w:rPr>
      </w:pPr>
      <w:r w:rsidRPr="008F45B3">
        <w:rPr>
          <w:rFonts w:ascii="Times New Roman" w:hAnsi="Times New Roman" w:cs="Times New Roman"/>
          <w:sz w:val="32"/>
          <w:szCs w:val="32"/>
        </w:rPr>
        <w:t>значения</w:t>
      </w:r>
    </w:p>
    <w:p w:rsidR="008F45B3" w:rsidRPr="008F45B3" w:rsidRDefault="008F45B3" w:rsidP="000A3DFE">
      <w:pPr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8F45B3">
        <w:rPr>
          <w:rFonts w:ascii="Times New Roman" w:hAnsi="Times New Roman" w:cs="Times New Roman"/>
          <w:sz w:val="24"/>
          <w:szCs w:val="24"/>
        </w:rPr>
        <w:t>коэффициентов дифференциации по видам деятельности арендатора земельного участка из категории земель сельскохозяйственного назначения на территории Ленинского муниципального района Волгоградской области (КДС)</w:t>
      </w:r>
    </w:p>
    <w:p w:rsidR="008F45B3" w:rsidRPr="008F45B3" w:rsidRDefault="008F45B3" w:rsidP="000A3DFE">
      <w:pPr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15"/>
        <w:gridCol w:w="5764"/>
        <w:gridCol w:w="3119"/>
      </w:tblGrid>
      <w:tr w:rsidR="008F45B3" w:rsidRPr="008F45B3" w:rsidTr="000A3D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B3" w:rsidRPr="008F45B3" w:rsidRDefault="008F45B3" w:rsidP="000A3DFE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B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F45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F45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F45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F45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B3" w:rsidRPr="008F45B3" w:rsidRDefault="008F45B3" w:rsidP="000A3DFE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B3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 арендатора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B3" w:rsidRPr="008F45B3" w:rsidRDefault="008F45B3" w:rsidP="000A3DFE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B3">
              <w:rPr>
                <w:rFonts w:ascii="Times New Roman" w:hAnsi="Times New Roman" w:cs="Times New Roman"/>
                <w:sz w:val="24"/>
                <w:szCs w:val="24"/>
              </w:rPr>
              <w:t>Значения коэффициента дифференциации по видам деятельности арендатора земельного участка (КДС)</w:t>
            </w:r>
          </w:p>
        </w:tc>
      </w:tr>
      <w:tr w:rsidR="008F45B3" w:rsidRPr="008F45B3" w:rsidTr="000A3D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B3" w:rsidRPr="008F45B3" w:rsidRDefault="008F45B3" w:rsidP="000A3DFE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B3" w:rsidRPr="008F45B3" w:rsidRDefault="008F45B3" w:rsidP="000A3DFE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B3" w:rsidRPr="008F45B3" w:rsidRDefault="008F45B3" w:rsidP="000A3DFE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45B3" w:rsidRPr="008F45B3" w:rsidTr="000A3D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B3" w:rsidRPr="008F45B3" w:rsidRDefault="008F45B3" w:rsidP="000A3DFE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B3" w:rsidRPr="008F45B3" w:rsidRDefault="008F45B3" w:rsidP="000A3DFE">
            <w:pPr>
              <w:spacing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Выращивание зерновых и зернобобовых культур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B3" w:rsidRPr="008F45B3" w:rsidRDefault="008F45B3" w:rsidP="000A3DFE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8F45B3" w:rsidRPr="008F45B3" w:rsidTr="000A3D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B3" w:rsidRPr="008F45B3" w:rsidRDefault="008F45B3" w:rsidP="000A3DFE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B3" w:rsidRPr="008F45B3" w:rsidRDefault="008F45B3" w:rsidP="000A3DFE">
            <w:pPr>
              <w:spacing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Выращивание картофеля, столовых корнеплодных и клубнеплодных культур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B3" w:rsidRPr="008F45B3" w:rsidRDefault="008F45B3" w:rsidP="000A3DFE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F45B3" w:rsidRPr="008F45B3" w:rsidTr="000A3D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B3" w:rsidRPr="008F45B3" w:rsidRDefault="008F45B3" w:rsidP="000A3DFE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B3" w:rsidRPr="008F45B3" w:rsidRDefault="008F45B3" w:rsidP="000A3DFE">
            <w:pPr>
              <w:spacing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Выращивание масличных культур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B3" w:rsidRPr="008F45B3" w:rsidRDefault="008F45B3" w:rsidP="000A3DFE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12,5</w:t>
            </w:r>
          </w:p>
        </w:tc>
      </w:tr>
      <w:tr w:rsidR="008F45B3" w:rsidRPr="008F45B3" w:rsidTr="000A3D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B3" w:rsidRPr="008F45B3" w:rsidRDefault="008F45B3" w:rsidP="000A3DFE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B3" w:rsidRPr="008F45B3" w:rsidRDefault="008F45B3" w:rsidP="000A3DFE">
            <w:pPr>
              <w:spacing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Выращивание кормовых культур, заготовка растительных кормов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B3" w:rsidRPr="008F45B3" w:rsidRDefault="008F45B3" w:rsidP="000A3DFE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13</w:t>
            </w:r>
          </w:p>
        </w:tc>
      </w:tr>
      <w:tr w:rsidR="008F45B3" w:rsidRPr="008F45B3" w:rsidTr="000A3D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B3" w:rsidRPr="008F45B3" w:rsidRDefault="008F45B3" w:rsidP="000A3DFE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B3" w:rsidRPr="008F45B3" w:rsidRDefault="008F45B3" w:rsidP="000A3DFE">
            <w:pPr>
              <w:spacing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Выращивание бахчевых культур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B3" w:rsidRPr="008F45B3" w:rsidRDefault="008F45B3" w:rsidP="000A3DFE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37,5</w:t>
            </w:r>
          </w:p>
        </w:tc>
      </w:tr>
      <w:tr w:rsidR="008F45B3" w:rsidRPr="008F45B3" w:rsidTr="000A3D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B3" w:rsidRPr="008F45B3" w:rsidRDefault="008F45B3" w:rsidP="000A3DFE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B3" w:rsidRPr="008F45B3" w:rsidRDefault="008F45B3" w:rsidP="000A3DFE">
            <w:pPr>
              <w:spacing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Выращивание овощных культур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B3" w:rsidRPr="008F45B3" w:rsidRDefault="008F45B3" w:rsidP="000A3DFE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8F45B3" w:rsidRPr="008F45B3" w:rsidTr="000A3D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B3" w:rsidRPr="008F45B3" w:rsidRDefault="008F45B3" w:rsidP="000A3DFE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B3" w:rsidRPr="008F45B3" w:rsidRDefault="008F45B3" w:rsidP="000A3DFE">
            <w:pPr>
              <w:spacing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Выращивание фруктов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B3" w:rsidRPr="008F45B3" w:rsidRDefault="008F45B3" w:rsidP="000A3DFE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F45B3" w:rsidRPr="008F45B3" w:rsidTr="000A3D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B3" w:rsidRPr="008F45B3" w:rsidRDefault="008F45B3" w:rsidP="000A3DFE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B3" w:rsidRPr="008F45B3" w:rsidRDefault="008F45B3" w:rsidP="000A3DFE">
            <w:pPr>
              <w:spacing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Выращивание прочих сельскохозяйственных культур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B3" w:rsidRPr="008F45B3" w:rsidRDefault="008F45B3" w:rsidP="000A3DFE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19,4</w:t>
            </w:r>
          </w:p>
        </w:tc>
      </w:tr>
      <w:tr w:rsidR="008F45B3" w:rsidRPr="008F45B3" w:rsidTr="000A3D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B3" w:rsidRPr="008F45B3" w:rsidRDefault="008F45B3" w:rsidP="000A3DFE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B3" w:rsidRPr="008F45B3" w:rsidRDefault="008F45B3" w:rsidP="000A3DFE">
            <w:pPr>
              <w:spacing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Разведение крупного рогатого скота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B3" w:rsidRPr="008F45B3" w:rsidRDefault="008F45B3" w:rsidP="000A3DFE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15,2</w:t>
            </w:r>
          </w:p>
        </w:tc>
      </w:tr>
      <w:tr w:rsidR="008F45B3" w:rsidRPr="008F45B3" w:rsidTr="000A3D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B3" w:rsidRPr="008F45B3" w:rsidRDefault="008F45B3" w:rsidP="000A3DFE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B3" w:rsidRPr="008F45B3" w:rsidRDefault="008F45B3" w:rsidP="000A3DFE">
            <w:pPr>
              <w:spacing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Разведение овец и коз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B3" w:rsidRPr="008F45B3" w:rsidRDefault="008F45B3" w:rsidP="000A3DFE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15,2</w:t>
            </w:r>
          </w:p>
        </w:tc>
      </w:tr>
      <w:tr w:rsidR="008F45B3" w:rsidRPr="008F45B3" w:rsidTr="000A3D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B3" w:rsidRPr="008F45B3" w:rsidRDefault="008F45B3" w:rsidP="000A3DFE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B3" w:rsidRPr="008F45B3" w:rsidRDefault="008F45B3" w:rsidP="000A3DFE">
            <w:pPr>
              <w:spacing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Разведение лошадей, ослов, мулов и т.д.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B3" w:rsidRPr="008F45B3" w:rsidRDefault="008F45B3" w:rsidP="000A3DFE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15,2</w:t>
            </w:r>
          </w:p>
        </w:tc>
      </w:tr>
      <w:tr w:rsidR="008F45B3" w:rsidRPr="008F45B3" w:rsidTr="000A3D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B3" w:rsidRPr="008F45B3" w:rsidRDefault="008F45B3" w:rsidP="000A3DFE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B3" w:rsidRPr="008F45B3" w:rsidRDefault="008F45B3" w:rsidP="000A3DFE">
            <w:pPr>
              <w:spacing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Разведение свиней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B3" w:rsidRPr="008F45B3" w:rsidRDefault="008F45B3" w:rsidP="000A3DFE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15,2</w:t>
            </w:r>
          </w:p>
        </w:tc>
      </w:tr>
      <w:tr w:rsidR="008F45B3" w:rsidRPr="008F45B3" w:rsidTr="000A3D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B3" w:rsidRPr="008F45B3" w:rsidRDefault="008F45B3" w:rsidP="000A3DFE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B3" w:rsidRPr="008F45B3" w:rsidRDefault="008F45B3" w:rsidP="000A3DFE">
            <w:pPr>
              <w:spacing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Разведение сельскохозяйственной птицы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B3" w:rsidRPr="008F45B3" w:rsidRDefault="008F45B3" w:rsidP="000A3DFE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15,2</w:t>
            </w:r>
          </w:p>
        </w:tc>
      </w:tr>
      <w:tr w:rsidR="008F45B3" w:rsidRPr="008F45B3" w:rsidTr="000A3D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B3" w:rsidRPr="008F45B3" w:rsidRDefault="008F45B3" w:rsidP="000A3DFE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B3" w:rsidRPr="008F45B3" w:rsidRDefault="008F45B3" w:rsidP="000A3DFE">
            <w:pPr>
              <w:spacing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Разведение прочих животных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B3" w:rsidRPr="008F45B3" w:rsidRDefault="008F45B3" w:rsidP="000A3DFE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15,2</w:t>
            </w:r>
          </w:p>
        </w:tc>
      </w:tr>
      <w:tr w:rsidR="008F45B3" w:rsidRPr="008F45B3" w:rsidTr="000A3D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B3" w:rsidRPr="008F45B3" w:rsidRDefault="008F45B3" w:rsidP="00F77438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B3" w:rsidRPr="008F45B3" w:rsidRDefault="008F45B3" w:rsidP="000A3DFE">
            <w:pPr>
              <w:spacing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садоводческих и огороднических объединений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B3" w:rsidRPr="008F45B3" w:rsidRDefault="008F45B3" w:rsidP="000A3DFE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</w:tr>
      <w:tr w:rsidR="008F45B3" w:rsidRPr="008F45B3" w:rsidTr="000A3D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B3" w:rsidRPr="008F45B3" w:rsidRDefault="008F45B3" w:rsidP="00F77438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B3" w:rsidRPr="008F45B3" w:rsidRDefault="008F45B3" w:rsidP="000A3DFE">
            <w:pPr>
              <w:spacing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дорог, линий электропередачи, линий связи (в том числе линейно - кабельных сооружений), нефтепроводов, газопроводов, иных трубопроводов без перевода земель </w:t>
            </w:r>
            <w:r w:rsidRPr="008F4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сельскохозяйственного назначения в земли иных категорий, при наличии утвержденного проекта рекультивации таких земель для нужд сельского хозяйства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B3" w:rsidRPr="008F45B3" w:rsidRDefault="008F45B3" w:rsidP="000A3DFE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4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316</w:t>
            </w:r>
          </w:p>
        </w:tc>
      </w:tr>
      <w:tr w:rsidR="008F45B3" w:rsidRPr="008F45B3" w:rsidTr="000A3D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B3" w:rsidRPr="008F45B3" w:rsidRDefault="008F45B3" w:rsidP="00F77438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B3" w:rsidRPr="008F45B3" w:rsidRDefault="008F45B3" w:rsidP="000A3DFE">
            <w:pPr>
              <w:spacing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Эксплуатация внутрихозяйственных дорог, коммуникаций, лесных насаждений, предназначенных для обеспечения защиты земель от воздействия негативных (вредных) природных, антропогенных и техногенных явлений, водных объектов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B3" w:rsidRPr="008F45B3" w:rsidRDefault="008F45B3" w:rsidP="000A3DFE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8F45B3" w:rsidRPr="008F45B3" w:rsidTr="000A3D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B3" w:rsidRPr="008F45B3" w:rsidRDefault="008F45B3" w:rsidP="000A3DFE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B3" w:rsidRPr="008F45B3" w:rsidRDefault="008F45B3" w:rsidP="000A3DFE">
            <w:pPr>
              <w:spacing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Эксплуатация зданий, строений, сооружений, используемых для производства водных биологических ресурсов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B3" w:rsidRPr="008F45B3" w:rsidRDefault="008F45B3" w:rsidP="000A3DFE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8F45B3" w:rsidRPr="008F45B3" w:rsidTr="000A3D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B3" w:rsidRPr="008F45B3" w:rsidRDefault="008F45B3" w:rsidP="000A3DFE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B3" w:rsidRPr="008F45B3" w:rsidRDefault="008F45B3" w:rsidP="000A3DFE">
            <w:pPr>
              <w:spacing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Эксплуатация зданий, строений, сооружений, используемых для производства, хранения и первичной переработки сельскохозяйственной продукции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B3" w:rsidRPr="008F45B3" w:rsidRDefault="008F45B3" w:rsidP="000A3DFE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4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230</w:t>
            </w:r>
          </w:p>
        </w:tc>
      </w:tr>
      <w:tr w:rsidR="008F45B3" w:rsidRPr="008F45B3" w:rsidTr="000A3D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B3" w:rsidRPr="008F45B3" w:rsidRDefault="008F45B3" w:rsidP="000A3DFE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B3" w:rsidRPr="008F45B3" w:rsidRDefault="008F45B3" w:rsidP="000A3DFE">
            <w:pPr>
              <w:spacing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виды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B3" w:rsidRPr="008F45B3" w:rsidRDefault="008F45B3" w:rsidP="000A3DFE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4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</w:tbl>
    <w:p w:rsidR="008F45B3" w:rsidRPr="008F45B3" w:rsidRDefault="008F45B3" w:rsidP="000A3DFE">
      <w:pPr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F45B3" w:rsidRPr="008F45B3" w:rsidRDefault="008F45B3" w:rsidP="000A3DFE">
      <w:pPr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F45B3" w:rsidRPr="008F45B3" w:rsidRDefault="008F45B3" w:rsidP="000A3DF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sectPr w:rsidR="008F45B3" w:rsidRPr="008F45B3" w:rsidSect="0067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E6D" w:rsidRDefault="00A12E6D" w:rsidP="00416871">
      <w:pPr>
        <w:spacing w:after="0" w:line="240" w:lineRule="auto"/>
      </w:pPr>
      <w:r>
        <w:separator/>
      </w:r>
    </w:p>
  </w:endnote>
  <w:endnote w:type="continuationSeparator" w:id="0">
    <w:p w:rsidR="00A12E6D" w:rsidRDefault="00A12E6D" w:rsidP="0041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E6D" w:rsidRDefault="00A12E6D" w:rsidP="00416871">
      <w:pPr>
        <w:spacing w:after="0" w:line="240" w:lineRule="auto"/>
      </w:pPr>
      <w:r>
        <w:separator/>
      </w:r>
    </w:p>
  </w:footnote>
  <w:footnote w:type="continuationSeparator" w:id="0">
    <w:p w:rsidR="00A12E6D" w:rsidRDefault="00A12E6D" w:rsidP="00416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177C"/>
    <w:multiLevelType w:val="hybridMultilevel"/>
    <w:tmpl w:val="A112B862"/>
    <w:lvl w:ilvl="0" w:tplc="156E7B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9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871"/>
    <w:rsid w:val="00071839"/>
    <w:rsid w:val="000756FC"/>
    <w:rsid w:val="000A3DFE"/>
    <w:rsid w:val="000C1CC4"/>
    <w:rsid w:val="000C78F9"/>
    <w:rsid w:val="001365A4"/>
    <w:rsid w:val="0028608B"/>
    <w:rsid w:val="003700AE"/>
    <w:rsid w:val="00390531"/>
    <w:rsid w:val="00416871"/>
    <w:rsid w:val="00460601"/>
    <w:rsid w:val="004B2244"/>
    <w:rsid w:val="004D0AE8"/>
    <w:rsid w:val="004D1258"/>
    <w:rsid w:val="004E24E3"/>
    <w:rsid w:val="005F44AE"/>
    <w:rsid w:val="00647BE6"/>
    <w:rsid w:val="00673864"/>
    <w:rsid w:val="00687EFD"/>
    <w:rsid w:val="00697AF5"/>
    <w:rsid w:val="007013E8"/>
    <w:rsid w:val="00774106"/>
    <w:rsid w:val="008F45B3"/>
    <w:rsid w:val="009A6F72"/>
    <w:rsid w:val="00A04EF4"/>
    <w:rsid w:val="00A12E6D"/>
    <w:rsid w:val="00A3056D"/>
    <w:rsid w:val="00AD729A"/>
    <w:rsid w:val="00AF6EC3"/>
    <w:rsid w:val="00B06132"/>
    <w:rsid w:val="00B148E4"/>
    <w:rsid w:val="00B55793"/>
    <w:rsid w:val="00BE1893"/>
    <w:rsid w:val="00C00224"/>
    <w:rsid w:val="00C83694"/>
    <w:rsid w:val="00CA3706"/>
    <w:rsid w:val="00DC7BFD"/>
    <w:rsid w:val="00EE1B2B"/>
    <w:rsid w:val="00F7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71"/>
  </w:style>
  <w:style w:type="paragraph" w:styleId="1">
    <w:name w:val="heading 1"/>
    <w:basedOn w:val="a"/>
    <w:next w:val="a"/>
    <w:link w:val="10"/>
    <w:uiPriority w:val="99"/>
    <w:qFormat/>
    <w:rsid w:val="0041687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1687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1687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68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16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6871"/>
  </w:style>
  <w:style w:type="paragraph" w:styleId="a7">
    <w:name w:val="footer"/>
    <w:basedOn w:val="a"/>
    <w:link w:val="a8"/>
    <w:uiPriority w:val="99"/>
    <w:semiHidden/>
    <w:unhideWhenUsed/>
    <w:rsid w:val="00416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68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CE931-8EF7-4CA5-BB17-ACA46B215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649</Words>
  <Characters>3705</Characters>
  <Application>Microsoft Office Word</Application>
  <DocSecurity>0</DocSecurity>
  <Lines>30</Lines>
  <Paragraphs>8</Paragraphs>
  <ScaleCrop>false</ScaleCrop>
  <Company>Krokoz™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2021-04-26T05:48:00Z</dcterms:created>
  <dcterms:modified xsi:type="dcterms:W3CDTF">2021-05-19T07:04:00Z</dcterms:modified>
</cp:coreProperties>
</file>