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17" w:rsidRPr="004A3D17" w:rsidRDefault="004A3D17" w:rsidP="004A3D17">
      <w:pPr>
        <w:tabs>
          <w:tab w:val="left" w:pos="4140"/>
        </w:tabs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5D34DF" wp14:editId="16C23A76">
            <wp:simplePos x="0" y="0"/>
            <wp:positionH relativeFrom="column">
              <wp:posOffset>2827020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17" w:rsidRPr="004A3D17" w:rsidRDefault="004A3D17" w:rsidP="004A3D17">
      <w:pPr>
        <w:tabs>
          <w:tab w:val="left" w:pos="4140"/>
        </w:tabs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tabs>
          <w:tab w:val="left" w:pos="4140"/>
        </w:tabs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autoSpaceDN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A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.04.2019                                     г. Невинномысск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91</w:t>
      </w:r>
      <w:r w:rsidRPr="004A3D1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A3D17" w:rsidRPr="004A3D17" w:rsidRDefault="004A3D17" w:rsidP="004A3D17">
      <w:pPr>
        <w:tabs>
          <w:tab w:val="left" w:pos="4140"/>
        </w:tabs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Default="004A3D17" w:rsidP="004A3D17">
      <w:pPr>
        <w:tabs>
          <w:tab w:val="left" w:pos="4140"/>
        </w:tabs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Default="004A3D17" w:rsidP="004A3D17">
      <w:pPr>
        <w:tabs>
          <w:tab w:val="left" w:pos="4140"/>
        </w:tabs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17" w:rsidRPr="004A3D17" w:rsidRDefault="004A3D17" w:rsidP="004A3D17">
      <w:pPr>
        <w:tabs>
          <w:tab w:val="left" w:pos="4140"/>
        </w:tabs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34" w:rsidRPr="00592B1C" w:rsidRDefault="00233834" w:rsidP="002338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</w:t>
      </w:r>
      <w:r w:rsidR="008A3A55">
        <w:rPr>
          <w:rFonts w:ascii="Times New Roman" w:hAnsi="Times New Roman" w:cs="Times New Roman"/>
          <w:sz w:val="28"/>
          <w:szCs w:val="28"/>
        </w:rPr>
        <w:t>Положение об учетной политике в администрации города Невинномысска,</w:t>
      </w:r>
      <w:r w:rsidR="008A3A55" w:rsidRPr="009E5CF2">
        <w:rPr>
          <w:rFonts w:ascii="Times New Roman" w:hAnsi="Times New Roman" w:cs="Times New Roman"/>
          <w:sz w:val="28"/>
          <w:szCs w:val="28"/>
        </w:rPr>
        <w:t xml:space="preserve"> </w:t>
      </w:r>
      <w:r w:rsidR="008A3A55">
        <w:rPr>
          <w:rFonts w:ascii="Times New Roman" w:hAnsi="Times New Roman" w:cs="Times New Roman"/>
          <w:sz w:val="28"/>
          <w:szCs w:val="28"/>
        </w:rPr>
        <w:t>утвержденное</w:t>
      </w:r>
      <w:r w:rsidR="008A3A55" w:rsidRPr="00592B1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8A3A55">
        <w:rPr>
          <w:rFonts w:ascii="Times New Roman" w:hAnsi="Times New Roman" w:cs="Times New Roman"/>
          <w:sz w:val="28"/>
          <w:szCs w:val="28"/>
        </w:rPr>
        <w:t>ем</w:t>
      </w:r>
      <w:r w:rsidR="008A3A55" w:rsidRPr="00592B1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29.12.2017</w:t>
      </w:r>
      <w:r w:rsidR="008A3A55">
        <w:rPr>
          <w:rFonts w:ascii="Times New Roman" w:hAnsi="Times New Roman" w:cs="Times New Roman"/>
          <w:sz w:val="28"/>
          <w:szCs w:val="28"/>
        </w:rPr>
        <w:t xml:space="preserve"> </w:t>
      </w:r>
      <w:r w:rsidR="008A3A55" w:rsidRPr="00592B1C">
        <w:rPr>
          <w:rFonts w:ascii="Times New Roman" w:hAnsi="Times New Roman" w:cs="Times New Roman"/>
          <w:sz w:val="28"/>
          <w:szCs w:val="28"/>
        </w:rPr>
        <w:t>№ 300-</w:t>
      </w:r>
      <w:r w:rsidR="006A78C5">
        <w:rPr>
          <w:rFonts w:ascii="Times New Roman" w:hAnsi="Times New Roman" w:cs="Times New Roman"/>
          <w:sz w:val="28"/>
          <w:szCs w:val="28"/>
        </w:rPr>
        <w:t>Р</w:t>
      </w:r>
      <w:r w:rsidR="008A3A55" w:rsidRPr="0059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34" w:rsidRPr="00592B1C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34" w:rsidRPr="00592B1C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34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 Федеральным  законом  от  06 декабря  2011  года  № 402-ФЗ «О бухгалтерском учете», приказом Министерства финансов Российской Федерации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9E5CF2" w:rsidRPr="00592B1C" w:rsidRDefault="009E5CF2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1C" w:rsidRPr="00592B1C" w:rsidRDefault="00D3587C" w:rsidP="004B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  <w:szCs w:val="28"/>
        </w:rPr>
        <w:t>Положение об учетной политике в администрации города Невинномысска,</w:t>
      </w:r>
      <w:r w:rsidRPr="009E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592B1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2B1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29.12.2017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№ 300-</w:t>
      </w:r>
      <w:r w:rsidR="006A78C5">
        <w:rPr>
          <w:rFonts w:ascii="Times New Roman" w:hAnsi="Times New Roman" w:cs="Times New Roman"/>
          <w:sz w:val="28"/>
          <w:szCs w:val="28"/>
        </w:rPr>
        <w:t>Р</w:t>
      </w:r>
      <w:r w:rsidR="00E93431">
        <w:rPr>
          <w:rFonts w:ascii="Times New Roman" w:hAnsi="Times New Roman" w:cs="Times New Roman"/>
          <w:sz w:val="28"/>
          <w:szCs w:val="28"/>
        </w:rPr>
        <w:t xml:space="preserve"> </w:t>
      </w:r>
      <w:r w:rsidR="00E93431"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r w:rsidR="00E9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1"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  <w:r w:rsidR="00E9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31"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 админис</w:t>
      </w:r>
      <w:r w:rsidR="00E93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Невинномысска»</w:t>
      </w:r>
      <w:r w:rsidR="00E97E7C">
        <w:rPr>
          <w:rFonts w:ascii="Times New Roman" w:hAnsi="Times New Roman" w:cs="Times New Roman"/>
          <w:sz w:val="28"/>
          <w:szCs w:val="28"/>
        </w:rPr>
        <w:t>,</w:t>
      </w:r>
      <w:r w:rsidR="00592B1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92B1C" w:rsidRPr="00592B1C">
        <w:rPr>
          <w:rFonts w:ascii="Times New Roman" w:hAnsi="Times New Roman" w:cs="Times New Roman"/>
          <w:sz w:val="28"/>
          <w:szCs w:val="28"/>
        </w:rPr>
        <w:t>:</w:t>
      </w:r>
    </w:p>
    <w:p w:rsidR="00592B1C" w:rsidRDefault="00D3587C" w:rsidP="004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B1C" w:rsidRPr="00592B1C">
        <w:rPr>
          <w:rFonts w:ascii="Times New Roman" w:hAnsi="Times New Roman" w:cs="Times New Roman"/>
          <w:sz w:val="28"/>
          <w:szCs w:val="28"/>
        </w:rPr>
        <w:t>.1. П</w:t>
      </w:r>
      <w:r w:rsidR="006F155B">
        <w:rPr>
          <w:rFonts w:ascii="Times New Roman" w:hAnsi="Times New Roman" w:cs="Times New Roman"/>
          <w:sz w:val="28"/>
          <w:szCs w:val="28"/>
        </w:rPr>
        <w:t>одпункт</w:t>
      </w:r>
      <w:r w:rsidR="006C1620">
        <w:rPr>
          <w:rFonts w:ascii="Times New Roman" w:hAnsi="Times New Roman" w:cs="Times New Roman"/>
          <w:sz w:val="28"/>
          <w:szCs w:val="28"/>
        </w:rPr>
        <w:t>ы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</w:t>
      </w:r>
      <w:r w:rsidR="00412E61">
        <w:rPr>
          <w:rFonts w:ascii="Times New Roman" w:hAnsi="Times New Roman" w:cs="Times New Roman"/>
          <w:sz w:val="28"/>
          <w:szCs w:val="28"/>
        </w:rPr>
        <w:t xml:space="preserve">2 и </w:t>
      </w:r>
      <w:r w:rsidR="00592B1C" w:rsidRPr="00592B1C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1C39AC" w:rsidRPr="00592B1C" w:rsidRDefault="001C39AC" w:rsidP="004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2270">
        <w:rPr>
          <w:rFonts w:ascii="Times New Roman" w:hAnsi="Times New Roman" w:cs="Times New Roman"/>
          <w:sz w:val="28"/>
          <w:szCs w:val="28"/>
        </w:rPr>
        <w:t>2) от 06 декабря 2010 г. № 162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E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счетов бюджетного </w:t>
      </w:r>
      <w:r w:rsidR="00EB22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B22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его применению» </w:t>
      </w:r>
      <w:r w:rsidR="00E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E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162н)</w:t>
      </w:r>
      <w:r w:rsidR="006C1620">
        <w:rPr>
          <w:rFonts w:ascii="Times New Roman" w:hAnsi="Times New Roman" w:cs="Times New Roman"/>
          <w:sz w:val="28"/>
          <w:szCs w:val="28"/>
        </w:rPr>
        <w:t>;</w:t>
      </w:r>
    </w:p>
    <w:p w:rsidR="00592B1C" w:rsidRPr="00592B1C" w:rsidRDefault="006C1620" w:rsidP="004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B1C" w:rsidRPr="00592B1C">
        <w:rPr>
          <w:rFonts w:ascii="Times New Roman" w:hAnsi="Times New Roman" w:cs="Times New Roman"/>
          <w:sz w:val="28"/>
          <w:szCs w:val="28"/>
        </w:rPr>
        <w:t>3) от 29 ноября 2017 г</w:t>
      </w:r>
      <w:r w:rsidR="006F155B">
        <w:rPr>
          <w:rFonts w:ascii="Times New Roman" w:hAnsi="Times New Roman" w:cs="Times New Roman"/>
          <w:sz w:val="28"/>
          <w:szCs w:val="28"/>
        </w:rPr>
        <w:t>.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№ 209н «Об утверждении </w:t>
      </w:r>
      <w:proofErr w:type="gramStart"/>
      <w:r w:rsidR="00592B1C" w:rsidRPr="00592B1C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="005965D9">
        <w:rPr>
          <w:rFonts w:ascii="Times New Roman" w:hAnsi="Times New Roman" w:cs="Times New Roman"/>
          <w:sz w:val="28"/>
          <w:szCs w:val="28"/>
        </w:rPr>
        <w:t>;».</w:t>
      </w:r>
    </w:p>
    <w:p w:rsidR="00592B1C" w:rsidRPr="00592B1C" w:rsidRDefault="00D3587C" w:rsidP="004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.2. </w:t>
      </w:r>
      <w:r w:rsidR="006F155B" w:rsidRPr="00592B1C">
        <w:rPr>
          <w:rFonts w:ascii="Times New Roman" w:hAnsi="Times New Roman" w:cs="Times New Roman"/>
          <w:sz w:val="28"/>
          <w:szCs w:val="28"/>
        </w:rPr>
        <w:t>П</w:t>
      </w:r>
      <w:r w:rsidR="006F155B">
        <w:rPr>
          <w:rFonts w:ascii="Times New Roman" w:hAnsi="Times New Roman" w:cs="Times New Roman"/>
          <w:sz w:val="28"/>
          <w:szCs w:val="28"/>
        </w:rPr>
        <w:t>одпункт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592B1C" w:rsidRPr="00592B1C" w:rsidRDefault="00592B1C" w:rsidP="00453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1C">
        <w:rPr>
          <w:rFonts w:ascii="Times New Roman" w:hAnsi="Times New Roman" w:cs="Times New Roman"/>
          <w:sz w:val="28"/>
          <w:szCs w:val="28"/>
        </w:rPr>
        <w:t>«5) Федеральными стандартами бухгалтерского учета для организаций государственного сектора, утвержденными приказами Мин</w:t>
      </w:r>
      <w:r w:rsidR="001238F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92B1C">
        <w:rPr>
          <w:rFonts w:ascii="Times New Roman" w:hAnsi="Times New Roman" w:cs="Times New Roman"/>
          <w:sz w:val="28"/>
          <w:szCs w:val="28"/>
        </w:rPr>
        <w:t>фина</w:t>
      </w:r>
      <w:r w:rsidR="001238FC">
        <w:rPr>
          <w:rFonts w:ascii="Times New Roman" w:hAnsi="Times New Roman" w:cs="Times New Roman"/>
          <w:sz w:val="28"/>
          <w:szCs w:val="28"/>
        </w:rPr>
        <w:t>нсов</w:t>
      </w:r>
      <w:r w:rsidRPr="00592B1C">
        <w:rPr>
          <w:rFonts w:ascii="Times New Roman" w:hAnsi="Times New Roman" w:cs="Times New Roman"/>
          <w:sz w:val="28"/>
          <w:szCs w:val="28"/>
        </w:rPr>
        <w:t xml:space="preserve"> Росс</w:t>
      </w:r>
      <w:r w:rsidR="001238FC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Pr="00592B1C">
        <w:rPr>
          <w:rFonts w:ascii="Times New Roman" w:hAnsi="Times New Roman" w:cs="Times New Roman"/>
          <w:sz w:val="28"/>
          <w:szCs w:val="28"/>
        </w:rPr>
        <w:t xml:space="preserve"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№ 257н «Об </w:t>
      </w:r>
      <w:r w:rsidRPr="00592B1C">
        <w:rPr>
          <w:rFonts w:ascii="Times New Roman" w:hAnsi="Times New Roman" w:cs="Times New Roman"/>
          <w:sz w:val="28"/>
          <w:szCs w:val="28"/>
        </w:rPr>
        <w:lastRenderedPageBreak/>
        <w:t>утверждении федерального стандарта бухгалтерского учета для организаций государственного сектора «Основные средства», № 258н «Об утверждении федерального стандарта бухгалтерского учета</w:t>
      </w:r>
      <w:proofErr w:type="gramEnd"/>
      <w:r w:rsidRPr="00592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B1C">
        <w:rPr>
          <w:rFonts w:ascii="Times New Roman" w:hAnsi="Times New Roman" w:cs="Times New Roman"/>
          <w:sz w:val="28"/>
          <w:szCs w:val="28"/>
        </w:rPr>
        <w:t>для организаций государственного сектора «Аренда», № 259н «Об утверждении федерального стандарта бухгалтерского учета для организаций государственного сектора «Обесценение активов»,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отчетности», от 30 декабря 2017</w:t>
      </w:r>
      <w:r w:rsidR="008E03FB">
        <w:rPr>
          <w:rFonts w:ascii="Times New Roman" w:hAnsi="Times New Roman" w:cs="Times New Roman"/>
          <w:sz w:val="28"/>
          <w:szCs w:val="28"/>
        </w:rPr>
        <w:t xml:space="preserve"> </w:t>
      </w:r>
      <w:r w:rsidR="006F155B">
        <w:rPr>
          <w:rFonts w:ascii="Times New Roman" w:hAnsi="Times New Roman" w:cs="Times New Roman"/>
          <w:sz w:val="28"/>
          <w:szCs w:val="28"/>
        </w:rPr>
        <w:t>г.</w:t>
      </w:r>
      <w:r w:rsidRPr="00592B1C">
        <w:rPr>
          <w:rFonts w:ascii="Times New Roman" w:hAnsi="Times New Roman" w:cs="Times New Roman"/>
          <w:sz w:val="28"/>
          <w:szCs w:val="28"/>
        </w:rPr>
        <w:t xml:space="preserve">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от 27 февраля</w:t>
      </w:r>
      <w:r w:rsidR="006F155B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2018</w:t>
      </w:r>
      <w:r w:rsidR="002F5440">
        <w:rPr>
          <w:rFonts w:ascii="Times New Roman" w:hAnsi="Times New Roman" w:cs="Times New Roman"/>
          <w:sz w:val="28"/>
          <w:szCs w:val="28"/>
        </w:rPr>
        <w:t xml:space="preserve"> </w:t>
      </w:r>
      <w:r w:rsidR="006F15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155B">
        <w:rPr>
          <w:rFonts w:ascii="Times New Roman" w:hAnsi="Times New Roman" w:cs="Times New Roman"/>
          <w:sz w:val="28"/>
          <w:szCs w:val="28"/>
        </w:rPr>
        <w:t>.</w:t>
      </w:r>
      <w:r w:rsidRPr="00592B1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592B1C">
        <w:rPr>
          <w:rFonts w:ascii="Times New Roman" w:hAnsi="Times New Roman" w:cs="Times New Roman"/>
          <w:sz w:val="28"/>
          <w:szCs w:val="28"/>
        </w:rPr>
        <w:t xml:space="preserve">32н «Об утверждении федерального стандарта бухгалтерского учета для организаций государственного сектора «Доходы», от 30 декабря 2017 </w:t>
      </w:r>
      <w:r w:rsidR="002F5440">
        <w:rPr>
          <w:rFonts w:ascii="Times New Roman" w:hAnsi="Times New Roman" w:cs="Times New Roman"/>
          <w:sz w:val="28"/>
          <w:szCs w:val="28"/>
        </w:rPr>
        <w:t xml:space="preserve">г. </w:t>
      </w:r>
      <w:r w:rsidRPr="00592B1C">
        <w:rPr>
          <w:rFonts w:ascii="Times New Roman" w:hAnsi="Times New Roman" w:cs="Times New Roman"/>
          <w:sz w:val="28"/>
          <w:szCs w:val="28"/>
        </w:rPr>
        <w:t xml:space="preserve">№ 275н «Об утверждении федерального стандарта бухгалтерского учета для организаций государственного сектора «События после отчетной даты», от 30 декабря 2017 </w:t>
      </w:r>
      <w:r w:rsidR="002F5440">
        <w:rPr>
          <w:rFonts w:ascii="Times New Roman" w:hAnsi="Times New Roman" w:cs="Times New Roman"/>
          <w:sz w:val="28"/>
          <w:szCs w:val="28"/>
        </w:rPr>
        <w:t xml:space="preserve">г. </w:t>
      </w:r>
      <w:r w:rsidRPr="00592B1C">
        <w:rPr>
          <w:rFonts w:ascii="Times New Roman" w:hAnsi="Times New Roman" w:cs="Times New Roman"/>
          <w:sz w:val="28"/>
          <w:szCs w:val="28"/>
        </w:rPr>
        <w:t>№ 278н «Об утверждении федерального стандарта бухгалтерского учета для организаций государственного сектора «Отчет о дв</w:t>
      </w:r>
      <w:r w:rsidR="00F77C24">
        <w:rPr>
          <w:rFonts w:ascii="Times New Roman" w:hAnsi="Times New Roman" w:cs="Times New Roman"/>
          <w:sz w:val="28"/>
          <w:szCs w:val="28"/>
        </w:rPr>
        <w:t xml:space="preserve">ижении денежных средств» (далее </w:t>
      </w:r>
      <w:r w:rsidRPr="00592B1C">
        <w:rPr>
          <w:rFonts w:ascii="Times New Roman" w:hAnsi="Times New Roman" w:cs="Times New Roman"/>
          <w:sz w:val="28"/>
          <w:szCs w:val="28"/>
        </w:rPr>
        <w:t>соответственно</w:t>
      </w:r>
      <w:r w:rsidR="00F77C24">
        <w:rPr>
          <w:rFonts w:ascii="Times New Roman" w:hAnsi="Times New Roman" w:cs="Times New Roman"/>
          <w:sz w:val="28"/>
          <w:szCs w:val="28"/>
        </w:rPr>
        <w:t xml:space="preserve"> </w:t>
      </w:r>
      <w:r w:rsidR="00DF4674">
        <w:rPr>
          <w:rFonts w:ascii="Times New Roman" w:hAnsi="Times New Roman" w:cs="Times New Roman"/>
          <w:sz w:val="28"/>
          <w:szCs w:val="28"/>
        </w:rPr>
        <w:t>–</w:t>
      </w:r>
      <w:r w:rsidR="00F77C24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Стандарт «Концептуальные основы бухучета и</w:t>
      </w:r>
      <w:proofErr w:type="gramEnd"/>
      <w:r w:rsidRPr="00592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B1C">
        <w:rPr>
          <w:rFonts w:ascii="Times New Roman" w:hAnsi="Times New Roman" w:cs="Times New Roman"/>
          <w:sz w:val="28"/>
          <w:szCs w:val="28"/>
        </w:rPr>
        <w:t>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отчетности», Стандарт «Учетная политика, оценочные значения и ошибки», Стандарт «Доходы», Стандарт « События после отчетной даты», Стандарт « Отчет о движении денежных средств»).»</w:t>
      </w:r>
      <w:r w:rsidR="00967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B1C" w:rsidRPr="00592B1C" w:rsidRDefault="00D3587C" w:rsidP="0045307A">
      <w:pPr>
        <w:pStyle w:val="copyright-info"/>
        <w:spacing w:before="0" w:beforeAutospacing="0" w:after="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92B1C" w:rsidRPr="006F31D9">
        <w:rPr>
          <w:sz w:val="28"/>
          <w:szCs w:val="28"/>
        </w:rPr>
        <w:t>.3</w:t>
      </w:r>
      <w:r w:rsidR="005965D9">
        <w:rPr>
          <w:sz w:val="28"/>
          <w:szCs w:val="28"/>
        </w:rPr>
        <w:t>.</w:t>
      </w:r>
      <w:r w:rsidR="00592B1C" w:rsidRPr="006F31D9">
        <w:rPr>
          <w:sz w:val="28"/>
          <w:szCs w:val="28"/>
        </w:rPr>
        <w:t xml:space="preserve"> Раздел 1 дополнить пункт</w:t>
      </w:r>
      <w:r w:rsidR="006F31D9" w:rsidRPr="006F31D9">
        <w:rPr>
          <w:sz w:val="28"/>
          <w:szCs w:val="28"/>
        </w:rPr>
        <w:t>ами</w:t>
      </w:r>
      <w:r w:rsidR="00F30258">
        <w:rPr>
          <w:sz w:val="28"/>
          <w:szCs w:val="28"/>
        </w:rPr>
        <w:t xml:space="preserve"> 1.5 </w:t>
      </w:r>
      <w:r w:rsidR="00ED5B62">
        <w:rPr>
          <w:sz w:val="28"/>
          <w:szCs w:val="28"/>
        </w:rPr>
        <w:t>и</w:t>
      </w:r>
      <w:r w:rsidR="00F30258">
        <w:rPr>
          <w:sz w:val="28"/>
          <w:szCs w:val="28"/>
        </w:rPr>
        <w:t xml:space="preserve"> </w:t>
      </w:r>
      <w:r w:rsidR="00592B1C" w:rsidRPr="006F31D9">
        <w:rPr>
          <w:sz w:val="28"/>
          <w:szCs w:val="28"/>
        </w:rPr>
        <w:t>1.6 следующего содержания:</w:t>
      </w:r>
    </w:p>
    <w:p w:rsidR="006F31D9" w:rsidRDefault="00592B1C" w:rsidP="004530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B1C">
        <w:rPr>
          <w:rFonts w:ascii="Times New Roman" w:hAnsi="Times New Roman" w:cs="Times New Roman"/>
          <w:sz w:val="28"/>
          <w:szCs w:val="28"/>
        </w:rPr>
        <w:t xml:space="preserve">«1.5. 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внесении изменений в учетную</w:t>
      </w:r>
      <w:r w:rsidR="004A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политику главный бухгалтер МКУ </w:t>
      </w:r>
      <w:r w:rsidR="006F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четный центр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</w:t>
      </w:r>
      <w:r w:rsidR="00C76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города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 </w:t>
      </w:r>
    </w:p>
    <w:p w:rsidR="00592B1C" w:rsidRPr="006F31D9" w:rsidRDefault="00592B1C" w:rsidP="006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Основание: </w:t>
      </w:r>
      <w:r w:rsidRPr="006F3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пункты </w:t>
      </w:r>
      <w:hyperlink r:id="rId10" w:anchor="/document/99/542618106/XA00MA02N6/" w:tooltip="17. Последствия изменения учетной политики, вызванного причинами, отличными от указанных в пункте 16 настоящего Стандарта, и оказавшие или способные оказать существенные изменения показателей, отражающих финансовое положение,.." w:history="1">
        <w:r w:rsidRPr="006F31D9">
          <w:rPr>
            <w:rStyle w:val="a9"/>
            <w:rFonts w:ascii="Times New Roman" w:hAnsi="Times New Roman" w:cs="Times New Roman"/>
            <w:sz w:val="28"/>
            <w:szCs w:val="28"/>
          </w:rPr>
          <w:t>17</w:t>
        </w:r>
      </w:hyperlink>
      <w:r w:rsidRPr="006F3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anchor="/document/99/542618106/XA00M3C2MF/" w:tooltip="20. Раскрытие в бухгалтерской (финансовой) отчетности информации о положениях учетной политики субъекта учета (о применяемых способах ведения бухгалтерского учета, составе и содержании документов учетной политики) осуществляется..." w:history="1">
        <w:r w:rsidRPr="006F31D9">
          <w:rPr>
            <w:rStyle w:val="a9"/>
            <w:rFonts w:ascii="Times New Roman" w:hAnsi="Times New Roman" w:cs="Times New Roman"/>
            <w:sz w:val="28"/>
            <w:szCs w:val="28"/>
          </w:rPr>
          <w:t>20</w:t>
        </w:r>
      </w:hyperlink>
      <w:r w:rsidRPr="006F3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2" w:anchor="/document/99/542618106/XA00MBG2NC/" w:tooltip="32. Ошибка отчетного периода, выявленная после даты утверждения квартальной бухгалтерской (финансовой) отчетности отражается путем выполнения в соответствии с пунктом 28 настоящего Стандарта записей по счетам бухгалтерского учета..." w:history="1">
        <w:r w:rsidRPr="006F31D9">
          <w:rPr>
            <w:rStyle w:val="a9"/>
            <w:rFonts w:ascii="Times New Roman" w:hAnsi="Times New Roman" w:cs="Times New Roman"/>
            <w:sz w:val="28"/>
            <w:szCs w:val="28"/>
          </w:rPr>
          <w:t>32</w:t>
        </w:r>
      </w:hyperlink>
      <w:r w:rsidRPr="006F3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05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="00292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«Учетная политика, оценочные значения и ошибки</w:t>
      </w:r>
      <w:r w:rsidR="006F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4275" w:rsidRDefault="00592B1C" w:rsidP="00DC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>1.6.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города публикует </w:t>
      </w:r>
      <w:r w:rsidR="006F3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на своем официальном сайте </w:t>
      </w:r>
      <w:r w:rsidRPr="00592B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84275">
        <w:rPr>
          <w:rFonts w:ascii="Times New Roman" w:hAnsi="Times New Roman" w:cs="Times New Roman"/>
          <w:sz w:val="28"/>
          <w:szCs w:val="28"/>
        </w:rPr>
        <w:t>.</w:t>
      </w:r>
      <w:r w:rsidRPr="00592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1C" w:rsidRPr="00592B1C" w:rsidRDefault="00592B1C" w:rsidP="00DC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Основание: </w:t>
      </w:r>
      <w:hyperlink r:id="rId13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Pr="00592B1C">
          <w:rPr>
            <w:rStyle w:val="a9"/>
            <w:rFonts w:ascii="Times New Roman" w:hAnsi="Times New Roman" w:cs="Times New Roman"/>
            <w:sz w:val="28"/>
            <w:szCs w:val="28"/>
          </w:rPr>
          <w:t>пункт 9</w:t>
        </w:r>
      </w:hyperlink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B3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тандарта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«Учетная политика, оценочные значения и ошибки»</w:t>
      </w:r>
      <w:proofErr w:type="gramStart"/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="00453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0B59" w:rsidRDefault="00D3587C" w:rsidP="00DC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.4. </w:t>
      </w:r>
      <w:r w:rsidR="00801C1C">
        <w:rPr>
          <w:rFonts w:ascii="Times New Roman" w:hAnsi="Times New Roman" w:cs="Times New Roman"/>
          <w:sz w:val="28"/>
          <w:szCs w:val="28"/>
        </w:rPr>
        <w:t>В</w:t>
      </w:r>
      <w:r w:rsidR="0097788B">
        <w:rPr>
          <w:rFonts w:ascii="Times New Roman" w:hAnsi="Times New Roman" w:cs="Times New Roman"/>
          <w:sz w:val="28"/>
          <w:szCs w:val="28"/>
        </w:rPr>
        <w:t xml:space="preserve"> </w:t>
      </w:r>
      <w:r w:rsidR="00592B1C" w:rsidRPr="00592B1C">
        <w:rPr>
          <w:rFonts w:ascii="Times New Roman" w:hAnsi="Times New Roman" w:cs="Times New Roman"/>
          <w:sz w:val="28"/>
          <w:szCs w:val="28"/>
        </w:rPr>
        <w:t>раздел</w:t>
      </w:r>
      <w:r w:rsidR="0097788B">
        <w:rPr>
          <w:rFonts w:ascii="Times New Roman" w:hAnsi="Times New Roman" w:cs="Times New Roman"/>
          <w:sz w:val="28"/>
          <w:szCs w:val="28"/>
        </w:rPr>
        <w:t>е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4</w:t>
      </w:r>
      <w:r w:rsidR="005C7532">
        <w:rPr>
          <w:rFonts w:ascii="Times New Roman" w:hAnsi="Times New Roman" w:cs="Times New Roman"/>
          <w:sz w:val="28"/>
          <w:szCs w:val="28"/>
        </w:rPr>
        <w:t>:</w:t>
      </w:r>
      <w:r w:rsidR="00F9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7F" w:rsidRDefault="002E70E1" w:rsidP="00DC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16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904C1">
        <w:rPr>
          <w:rFonts w:ascii="Times New Roman" w:hAnsi="Times New Roman" w:cs="Times New Roman"/>
          <w:sz w:val="28"/>
          <w:szCs w:val="28"/>
        </w:rPr>
        <w:t>одпункт 4.2.2 пункта 4.2</w:t>
      </w:r>
      <w:r w:rsidR="00F904C1" w:rsidRPr="00592B1C">
        <w:rPr>
          <w:rFonts w:ascii="Times New Roman" w:hAnsi="Times New Roman" w:cs="Times New Roman"/>
          <w:sz w:val="28"/>
          <w:szCs w:val="28"/>
        </w:rPr>
        <w:t xml:space="preserve"> 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2B1C" w:rsidRPr="00592B1C" w:rsidRDefault="00592B1C" w:rsidP="00DC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lastRenderedPageBreak/>
        <w:t>«4.2.2. Каждому объекту недвижимого, а также движимого имущества стоимостью свыше 10000 руб. присваивается уникальный инвентарный номер, состоящий из 15 (пятнадцати) знаков:</w:t>
      </w:r>
    </w:p>
    <w:p w:rsidR="00592B1C" w:rsidRPr="00592B1C" w:rsidRDefault="00592B1C" w:rsidP="00DC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>1) 1-3 - й разряды – код объекта учета синтетического счета в Плане счетов бюджетного учета (приложение 1 к приказу</w:t>
      </w:r>
      <w:r w:rsidR="001E1D4E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№ 162н);</w:t>
      </w:r>
    </w:p>
    <w:p w:rsidR="004C1D3C" w:rsidRDefault="00592B1C" w:rsidP="00DC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 xml:space="preserve">2) 4-5 – й разряды – код группы и вида синтетического счета Плана счетов бюджетного учета </w:t>
      </w:r>
      <w:r w:rsidR="004C1D3C" w:rsidRPr="00592B1C">
        <w:rPr>
          <w:rFonts w:ascii="Times New Roman" w:hAnsi="Times New Roman" w:cs="Times New Roman"/>
          <w:sz w:val="28"/>
          <w:szCs w:val="28"/>
        </w:rPr>
        <w:t>(приложение 1 к приказу № 162н);</w:t>
      </w:r>
    </w:p>
    <w:p w:rsidR="00592B1C" w:rsidRPr="00592B1C" w:rsidRDefault="00592B1C" w:rsidP="00DC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>3) 6-15 – й разряды – порядковый номер нефинансового актива.</w:t>
      </w:r>
    </w:p>
    <w:p w:rsidR="00592B1C" w:rsidRDefault="00592B1C" w:rsidP="00DC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>Основание: пункт 9 Стандарта «Основные средства», пункт 46 Инструкции к Единому план</w:t>
      </w:r>
      <w:r w:rsidR="00F50745">
        <w:rPr>
          <w:rFonts w:ascii="Times New Roman" w:hAnsi="Times New Roman" w:cs="Times New Roman"/>
          <w:sz w:val="28"/>
          <w:szCs w:val="28"/>
        </w:rPr>
        <w:t>у</w:t>
      </w:r>
      <w:r w:rsidRPr="00592B1C">
        <w:rPr>
          <w:rFonts w:ascii="Times New Roman" w:hAnsi="Times New Roman" w:cs="Times New Roman"/>
          <w:sz w:val="28"/>
          <w:szCs w:val="28"/>
        </w:rPr>
        <w:t xml:space="preserve"> счетов № 157н.»</w:t>
      </w:r>
      <w:r w:rsidR="00F30258">
        <w:rPr>
          <w:rFonts w:ascii="Times New Roman" w:hAnsi="Times New Roman" w:cs="Times New Roman"/>
          <w:sz w:val="28"/>
          <w:szCs w:val="28"/>
        </w:rPr>
        <w:t>.</w:t>
      </w:r>
    </w:p>
    <w:p w:rsidR="00592B1C" w:rsidRPr="00592B1C" w:rsidRDefault="00D3587C" w:rsidP="00DC2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258">
        <w:rPr>
          <w:rFonts w:ascii="Times New Roman" w:hAnsi="Times New Roman" w:cs="Times New Roman"/>
          <w:sz w:val="28"/>
          <w:szCs w:val="28"/>
        </w:rPr>
        <w:t>.</w:t>
      </w:r>
      <w:r w:rsidR="00C92846">
        <w:rPr>
          <w:rFonts w:ascii="Times New Roman" w:hAnsi="Times New Roman" w:cs="Times New Roman"/>
          <w:sz w:val="28"/>
          <w:szCs w:val="28"/>
        </w:rPr>
        <w:t>4</w:t>
      </w:r>
      <w:r w:rsidR="00F30258">
        <w:rPr>
          <w:rFonts w:ascii="Times New Roman" w:hAnsi="Times New Roman" w:cs="Times New Roman"/>
          <w:sz w:val="28"/>
          <w:szCs w:val="28"/>
        </w:rPr>
        <w:t>.</w:t>
      </w:r>
      <w:r w:rsidR="00C92846">
        <w:rPr>
          <w:rFonts w:ascii="Times New Roman" w:hAnsi="Times New Roman" w:cs="Times New Roman"/>
          <w:sz w:val="28"/>
          <w:szCs w:val="28"/>
        </w:rPr>
        <w:t xml:space="preserve">2. </w:t>
      </w:r>
      <w:r w:rsidR="00F30258">
        <w:rPr>
          <w:rFonts w:ascii="Times New Roman" w:hAnsi="Times New Roman" w:cs="Times New Roman"/>
          <w:sz w:val="28"/>
          <w:szCs w:val="28"/>
        </w:rPr>
        <w:t xml:space="preserve"> П</w:t>
      </w:r>
      <w:r w:rsidR="005965D9">
        <w:rPr>
          <w:rFonts w:ascii="Times New Roman" w:hAnsi="Times New Roman" w:cs="Times New Roman"/>
          <w:sz w:val="28"/>
          <w:szCs w:val="28"/>
        </w:rPr>
        <w:t>одп</w:t>
      </w:r>
      <w:r w:rsidR="00F30258">
        <w:rPr>
          <w:rFonts w:ascii="Times New Roman" w:hAnsi="Times New Roman" w:cs="Times New Roman"/>
          <w:sz w:val="28"/>
          <w:szCs w:val="28"/>
        </w:rPr>
        <w:t>ункт 4.7.1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</w:t>
      </w:r>
      <w:r w:rsidR="005965D9">
        <w:rPr>
          <w:rFonts w:ascii="Times New Roman" w:hAnsi="Times New Roman" w:cs="Times New Roman"/>
          <w:sz w:val="28"/>
          <w:szCs w:val="28"/>
        </w:rPr>
        <w:t xml:space="preserve">пункта 4.7 </w:t>
      </w:r>
      <w:r w:rsidR="00592B1C" w:rsidRPr="00592B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2B1C" w:rsidRDefault="00592B1C" w:rsidP="00DC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>«4.7.1. Дебиторская задолженность списывается с балансового учета и отражается на забалансовом счете 04 «Задолженность неплатежеспособных дебиторов» на основании решения комиссии по 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 w:rsidRPr="00592B1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92B1C">
        <w:rPr>
          <w:rFonts w:ascii="Times New Roman" w:hAnsi="Times New Roman" w:cs="Times New Roman"/>
          <w:sz w:val="28"/>
          <w:szCs w:val="28"/>
        </w:rPr>
        <w:t xml:space="preserve">ассе администрации города. Списание с </w:t>
      </w:r>
      <w:proofErr w:type="spellStart"/>
      <w:r w:rsidRPr="00592B1C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592B1C">
        <w:rPr>
          <w:rFonts w:ascii="Times New Roman" w:hAnsi="Times New Roman" w:cs="Times New Roman"/>
          <w:sz w:val="28"/>
          <w:szCs w:val="28"/>
        </w:rPr>
        <w:t xml:space="preserve"> счета 04 «Задолженность неплатежеспособных дебиторов» осуществляется после признания ее сомнительной или безнадежной к взысканию в порядке, утвержденном Положением о признании дебиторской задолженности сомнительной или безнадежной к взысканию согласно </w:t>
      </w:r>
      <w:r w:rsidRPr="0045307A">
        <w:rPr>
          <w:rFonts w:ascii="Times New Roman" w:hAnsi="Times New Roman" w:cs="Times New Roman"/>
          <w:sz w:val="28"/>
          <w:szCs w:val="28"/>
        </w:rPr>
        <w:t>приложению 8 к настоящему Положению.</w:t>
      </w:r>
    </w:p>
    <w:p w:rsidR="00A07349" w:rsidRPr="00592B1C" w:rsidRDefault="00A07349" w:rsidP="00DC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49">
        <w:rPr>
          <w:rFonts w:ascii="Times New Roman" w:hAnsi="Times New Roman" w:cs="Times New Roman"/>
          <w:sz w:val="28"/>
          <w:szCs w:val="28"/>
        </w:rPr>
        <w:t>Основание: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339, 340 </w:t>
      </w:r>
      <w:r w:rsidRPr="00A0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97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3A75">
        <w:rPr>
          <w:rFonts w:ascii="Times New Roman" w:hAnsi="Times New Roman" w:cs="Times New Roman"/>
          <w:sz w:val="28"/>
          <w:szCs w:val="28"/>
        </w:rPr>
        <w:t xml:space="preserve"> </w:t>
      </w:r>
      <w:r w:rsidR="00B41C57">
        <w:rPr>
          <w:rFonts w:ascii="Times New Roman" w:hAnsi="Times New Roman" w:cs="Times New Roman"/>
          <w:sz w:val="28"/>
          <w:szCs w:val="28"/>
        </w:rPr>
        <w:t>Единому</w:t>
      </w:r>
      <w:r w:rsidR="0097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плану</w:t>
      </w:r>
      <w:r w:rsidR="0097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счетов </w:t>
      </w:r>
      <w:r w:rsidR="0097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157 н</w:t>
      </w:r>
      <w:r w:rsidRPr="00A07349">
        <w:rPr>
          <w:rFonts w:ascii="Times New Roman" w:hAnsi="Times New Roman" w:cs="Times New Roman"/>
          <w:sz w:val="28"/>
          <w:szCs w:val="28"/>
        </w:rPr>
        <w:t>.».</w:t>
      </w:r>
    </w:p>
    <w:p w:rsidR="00592B1C" w:rsidRPr="00592B1C" w:rsidRDefault="00D3587C" w:rsidP="00DC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B1C" w:rsidRPr="00592B1C">
        <w:rPr>
          <w:rFonts w:ascii="Times New Roman" w:hAnsi="Times New Roman" w:cs="Times New Roman"/>
          <w:sz w:val="28"/>
          <w:szCs w:val="28"/>
        </w:rPr>
        <w:t>.</w:t>
      </w:r>
      <w:r w:rsidR="00093663">
        <w:rPr>
          <w:rFonts w:ascii="Times New Roman" w:hAnsi="Times New Roman" w:cs="Times New Roman"/>
          <w:sz w:val="28"/>
          <w:szCs w:val="28"/>
        </w:rPr>
        <w:t>5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. </w:t>
      </w:r>
      <w:r w:rsidR="007A7102">
        <w:rPr>
          <w:rFonts w:ascii="Times New Roman" w:hAnsi="Times New Roman" w:cs="Times New Roman"/>
          <w:sz w:val="28"/>
          <w:szCs w:val="28"/>
        </w:rPr>
        <w:t xml:space="preserve">Раздел 8 дополнить пунктом 8.2 </w:t>
      </w:r>
      <w:r w:rsidR="00592B1C" w:rsidRPr="00592B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92B1C" w:rsidRPr="00592B1C" w:rsidRDefault="00592B1C" w:rsidP="00DC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>«8.2.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города от всех видов деятельности и их оттоками.</w:t>
      </w:r>
    </w:p>
    <w:p w:rsidR="008B1F26" w:rsidRDefault="00592B1C" w:rsidP="004F6EC8">
      <w:pPr>
        <w:spacing w:after="6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14" w:anchor="/document/99/542618111/XA00MA02N6/" w:tooltip="19. Субъект отчетности должен раскрывать в Пояснениях к бухгалтерской (финансовой) отчетности следующую информацию:" w:history="1">
        <w:r w:rsidR="004F6EC8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Pr="00592B1C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92B1C">
        <w:rPr>
          <w:rFonts w:ascii="Times New Roman" w:hAnsi="Times New Roman" w:cs="Times New Roman"/>
          <w:sz w:val="28"/>
          <w:szCs w:val="28"/>
        </w:rPr>
        <w:t xml:space="preserve"> С</w:t>
      </w:r>
      <w:r w:rsidR="008B1F26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BA4920">
        <w:rPr>
          <w:rFonts w:ascii="Times New Roman" w:hAnsi="Times New Roman" w:cs="Times New Roman"/>
          <w:sz w:val="28"/>
          <w:szCs w:val="28"/>
        </w:rPr>
        <w:t xml:space="preserve"> </w:t>
      </w:r>
      <w:r w:rsidR="004F6EC8">
        <w:rPr>
          <w:rFonts w:ascii="Times New Roman" w:hAnsi="Times New Roman" w:cs="Times New Roman"/>
          <w:sz w:val="28"/>
          <w:szCs w:val="28"/>
        </w:rPr>
        <w:t xml:space="preserve">  </w:t>
      </w:r>
      <w:r w:rsidR="00BA4920">
        <w:rPr>
          <w:rFonts w:ascii="Times New Roman" w:hAnsi="Times New Roman" w:cs="Times New Roman"/>
          <w:sz w:val="28"/>
          <w:szCs w:val="28"/>
        </w:rPr>
        <w:t xml:space="preserve">«Отчет </w:t>
      </w:r>
      <w:r w:rsidR="004F6EC8">
        <w:rPr>
          <w:rFonts w:ascii="Times New Roman" w:hAnsi="Times New Roman" w:cs="Times New Roman"/>
          <w:sz w:val="28"/>
          <w:szCs w:val="28"/>
        </w:rPr>
        <w:t xml:space="preserve">  </w:t>
      </w:r>
      <w:r w:rsidR="00BA4920">
        <w:rPr>
          <w:rFonts w:ascii="Times New Roman" w:hAnsi="Times New Roman" w:cs="Times New Roman"/>
          <w:sz w:val="28"/>
          <w:szCs w:val="28"/>
        </w:rPr>
        <w:t xml:space="preserve">о </w:t>
      </w:r>
      <w:r w:rsidR="004F6EC8">
        <w:rPr>
          <w:rFonts w:ascii="Times New Roman" w:hAnsi="Times New Roman" w:cs="Times New Roman"/>
          <w:sz w:val="28"/>
          <w:szCs w:val="28"/>
        </w:rPr>
        <w:t xml:space="preserve">  </w:t>
      </w:r>
      <w:r w:rsidR="00BA4920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="004F6EC8">
        <w:rPr>
          <w:rFonts w:ascii="Times New Roman" w:hAnsi="Times New Roman" w:cs="Times New Roman"/>
          <w:sz w:val="28"/>
          <w:szCs w:val="28"/>
        </w:rPr>
        <w:t xml:space="preserve">  </w:t>
      </w:r>
      <w:r w:rsidR="008B1F26">
        <w:rPr>
          <w:rFonts w:ascii="Times New Roman" w:hAnsi="Times New Roman" w:cs="Times New Roman"/>
          <w:sz w:val="28"/>
          <w:szCs w:val="28"/>
        </w:rPr>
        <w:t>денежных</w:t>
      </w:r>
      <w:r w:rsidR="00BA4920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средств»</w:t>
      </w:r>
      <w:proofErr w:type="gramStart"/>
      <w:r w:rsidRPr="00592B1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C292C">
        <w:rPr>
          <w:rFonts w:ascii="Times New Roman" w:hAnsi="Times New Roman" w:cs="Times New Roman"/>
          <w:sz w:val="28"/>
          <w:szCs w:val="28"/>
        </w:rPr>
        <w:t>.</w:t>
      </w:r>
    </w:p>
    <w:p w:rsidR="008B23E5" w:rsidRDefault="008B23E5" w:rsidP="004F6EC8">
      <w:pPr>
        <w:spacing w:after="6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E5">
        <w:rPr>
          <w:rFonts w:ascii="Times New Roman" w:hAnsi="Times New Roman" w:cs="Times New Roman"/>
          <w:sz w:val="28"/>
          <w:szCs w:val="28"/>
        </w:rPr>
        <w:t>1.6.  В графе 3 в строках 3 и 5 раздела 6 приложе</w:t>
      </w:r>
      <w:r w:rsidR="00033312">
        <w:rPr>
          <w:rFonts w:ascii="Times New Roman" w:hAnsi="Times New Roman" w:cs="Times New Roman"/>
          <w:sz w:val="28"/>
          <w:szCs w:val="28"/>
        </w:rPr>
        <w:t xml:space="preserve">ния 5  слова «ноября» заменить </w:t>
      </w:r>
      <w:r w:rsidRPr="008B23E5">
        <w:rPr>
          <w:rFonts w:ascii="Times New Roman" w:hAnsi="Times New Roman" w:cs="Times New Roman"/>
          <w:sz w:val="28"/>
          <w:szCs w:val="28"/>
        </w:rPr>
        <w:t>слова</w:t>
      </w:r>
      <w:r w:rsidR="00033312">
        <w:rPr>
          <w:rFonts w:ascii="Times New Roman" w:hAnsi="Times New Roman" w:cs="Times New Roman"/>
          <w:sz w:val="28"/>
          <w:szCs w:val="28"/>
        </w:rPr>
        <w:t>ми</w:t>
      </w:r>
      <w:r w:rsidRPr="008B23E5">
        <w:rPr>
          <w:rFonts w:ascii="Times New Roman" w:hAnsi="Times New Roman" w:cs="Times New Roman"/>
          <w:sz w:val="28"/>
          <w:szCs w:val="28"/>
        </w:rPr>
        <w:t xml:space="preserve"> «января».</w:t>
      </w:r>
    </w:p>
    <w:p w:rsidR="00B83594" w:rsidRPr="00592B1C" w:rsidRDefault="00F15A3C" w:rsidP="004F6EC8">
      <w:pPr>
        <w:spacing w:after="6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3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3594">
        <w:rPr>
          <w:rFonts w:ascii="Times New Roman" w:hAnsi="Times New Roman" w:cs="Times New Roman"/>
          <w:sz w:val="28"/>
          <w:szCs w:val="28"/>
        </w:rPr>
        <w:t xml:space="preserve"> </w:t>
      </w:r>
      <w:r w:rsidR="002C14C4">
        <w:rPr>
          <w:rFonts w:ascii="Times New Roman" w:hAnsi="Times New Roman" w:cs="Times New Roman"/>
          <w:sz w:val="28"/>
          <w:szCs w:val="28"/>
        </w:rPr>
        <w:t>Д</w:t>
      </w:r>
      <w:r w:rsidR="00B83594">
        <w:rPr>
          <w:rFonts w:ascii="Times New Roman" w:hAnsi="Times New Roman" w:cs="Times New Roman"/>
          <w:sz w:val="28"/>
          <w:szCs w:val="28"/>
        </w:rPr>
        <w:t xml:space="preserve">ополнить приложением 8, согласно приложению к </w:t>
      </w:r>
      <w:r w:rsidR="004F6EC8">
        <w:rPr>
          <w:rFonts w:ascii="Times New Roman" w:hAnsi="Times New Roman" w:cs="Times New Roman"/>
          <w:sz w:val="28"/>
          <w:szCs w:val="28"/>
        </w:rPr>
        <w:t xml:space="preserve">  </w:t>
      </w:r>
      <w:r w:rsidR="00B83594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592B1C" w:rsidRPr="00592B1C" w:rsidRDefault="00247759" w:rsidP="005965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B1C" w:rsidRPr="00592B1C">
        <w:rPr>
          <w:rFonts w:ascii="Times New Roman" w:hAnsi="Times New Roman" w:cs="Times New Roman"/>
          <w:sz w:val="28"/>
          <w:szCs w:val="28"/>
        </w:rPr>
        <w:t>. Настоящ</w:t>
      </w:r>
      <w:r w:rsidR="004B495C">
        <w:rPr>
          <w:rFonts w:ascii="Times New Roman" w:hAnsi="Times New Roman" w:cs="Times New Roman"/>
          <w:sz w:val="28"/>
          <w:szCs w:val="28"/>
        </w:rPr>
        <w:t>е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е </w:t>
      </w:r>
      <w:r w:rsidR="004B495C">
        <w:rPr>
          <w:rFonts w:ascii="Times New Roman" w:hAnsi="Times New Roman" w:cs="Times New Roman"/>
          <w:sz w:val="28"/>
          <w:szCs w:val="28"/>
        </w:rPr>
        <w:t>распоряжение</w:t>
      </w:r>
      <w:r w:rsidR="00592B1C" w:rsidRPr="00592B1C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4B495C">
        <w:rPr>
          <w:rFonts w:ascii="Times New Roman" w:hAnsi="Times New Roman" w:cs="Times New Roman"/>
          <w:sz w:val="28"/>
          <w:szCs w:val="28"/>
        </w:rPr>
        <w:t>е</w:t>
      </w:r>
      <w:r w:rsidR="00592B1C" w:rsidRPr="00592B1C">
        <w:rPr>
          <w:rFonts w:ascii="Times New Roman" w:hAnsi="Times New Roman" w:cs="Times New Roman"/>
          <w:sz w:val="28"/>
          <w:szCs w:val="28"/>
        </w:rPr>
        <w:t>т в силу с</w:t>
      </w:r>
      <w:r w:rsidR="00CF2521">
        <w:rPr>
          <w:rFonts w:ascii="Times New Roman" w:hAnsi="Times New Roman" w:cs="Times New Roman"/>
          <w:sz w:val="28"/>
          <w:szCs w:val="28"/>
        </w:rPr>
        <w:t>о</w:t>
      </w:r>
      <w:r w:rsidR="004B495C">
        <w:rPr>
          <w:rFonts w:ascii="Times New Roman" w:hAnsi="Times New Roman" w:cs="Times New Roman"/>
          <w:sz w:val="28"/>
          <w:szCs w:val="28"/>
        </w:rPr>
        <w:t xml:space="preserve"> д</w:t>
      </w:r>
      <w:r w:rsidR="00CF2521">
        <w:rPr>
          <w:rFonts w:ascii="Times New Roman" w:hAnsi="Times New Roman" w:cs="Times New Roman"/>
          <w:sz w:val="28"/>
          <w:szCs w:val="28"/>
        </w:rPr>
        <w:t xml:space="preserve">ня его </w:t>
      </w:r>
      <w:r w:rsidR="004B495C">
        <w:rPr>
          <w:rFonts w:ascii="Times New Roman" w:hAnsi="Times New Roman" w:cs="Times New Roman"/>
          <w:sz w:val="28"/>
          <w:szCs w:val="28"/>
        </w:rPr>
        <w:t>принятия и распространяется на правоотношения, возникшие с 01 января 2019 г.</w:t>
      </w:r>
    </w:p>
    <w:p w:rsidR="00592B1C" w:rsidRPr="00592B1C" w:rsidRDefault="00592B1C" w:rsidP="005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1C" w:rsidRPr="00592B1C" w:rsidRDefault="00592B1C" w:rsidP="00D55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B1C" w:rsidRPr="00592B1C" w:rsidRDefault="00592B1C" w:rsidP="00D5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B1C" w:rsidRPr="00921501" w:rsidRDefault="00592B1C" w:rsidP="00592B1C">
      <w:pPr>
        <w:pStyle w:val="a3"/>
        <w:tabs>
          <w:tab w:val="left" w:pos="1843"/>
          <w:tab w:val="left" w:pos="8788"/>
        </w:tabs>
        <w:spacing w:line="240" w:lineRule="exact"/>
        <w:rPr>
          <w:szCs w:val="28"/>
        </w:rPr>
      </w:pPr>
      <w:r w:rsidRPr="00921501">
        <w:rPr>
          <w:szCs w:val="28"/>
        </w:rPr>
        <w:t>Глава города Невинномысска</w:t>
      </w:r>
    </w:p>
    <w:p w:rsidR="00592B1C" w:rsidRPr="00921501" w:rsidRDefault="00592B1C" w:rsidP="00592B1C">
      <w:pPr>
        <w:pStyle w:val="a3"/>
        <w:tabs>
          <w:tab w:val="left" w:pos="1843"/>
          <w:tab w:val="left" w:pos="8788"/>
        </w:tabs>
        <w:spacing w:line="240" w:lineRule="exact"/>
        <w:rPr>
          <w:szCs w:val="28"/>
        </w:rPr>
      </w:pPr>
      <w:r w:rsidRPr="00921501">
        <w:rPr>
          <w:szCs w:val="28"/>
        </w:rPr>
        <w:t xml:space="preserve">Ставропольского края           </w:t>
      </w:r>
      <w:r w:rsidR="004B495C" w:rsidRPr="00921501">
        <w:rPr>
          <w:szCs w:val="28"/>
        </w:rPr>
        <w:t xml:space="preserve">     </w:t>
      </w:r>
      <w:r w:rsidRPr="00921501">
        <w:rPr>
          <w:szCs w:val="28"/>
        </w:rPr>
        <w:t xml:space="preserve">                                              </w:t>
      </w:r>
      <w:r w:rsidR="00987FA0">
        <w:rPr>
          <w:szCs w:val="28"/>
        </w:rPr>
        <w:t xml:space="preserve">     </w:t>
      </w:r>
      <w:r w:rsidRPr="00921501">
        <w:rPr>
          <w:szCs w:val="28"/>
        </w:rPr>
        <w:t xml:space="preserve"> М.А. Миненков</w:t>
      </w:r>
    </w:p>
    <w:p w:rsidR="00F43A67" w:rsidRDefault="00F43A67" w:rsidP="00F1236F">
      <w:pPr>
        <w:rPr>
          <w:rFonts w:ascii="Times New Roman" w:hAnsi="Times New Roman" w:cs="Times New Roman"/>
          <w:sz w:val="28"/>
          <w:szCs w:val="28"/>
        </w:rPr>
      </w:pPr>
    </w:p>
    <w:p w:rsidR="0025213C" w:rsidRDefault="0025213C" w:rsidP="00D74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5213C" w:rsidSect="004A3D17">
          <w:headerReference w:type="default" r:id="rId15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F43A67" w:rsidRDefault="00F43A67" w:rsidP="00D74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1C" w:rsidRPr="00592B1C" w:rsidRDefault="00592B1C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921501" w:rsidRDefault="00592B1C" w:rsidP="00355720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sz w:val="28"/>
          <w:szCs w:val="28"/>
        </w:rPr>
        <w:t xml:space="preserve">к  </w:t>
      </w:r>
      <w:r w:rsidR="004B495C">
        <w:rPr>
          <w:rFonts w:ascii="Times New Roman" w:hAnsi="Times New Roman" w:cs="Times New Roman"/>
          <w:sz w:val="28"/>
          <w:szCs w:val="28"/>
        </w:rPr>
        <w:t>распоряжению</w:t>
      </w:r>
      <w:r w:rsidRPr="00592B1C">
        <w:rPr>
          <w:rFonts w:ascii="Times New Roman" w:hAnsi="Times New Roman" w:cs="Times New Roman"/>
          <w:sz w:val="28"/>
          <w:szCs w:val="28"/>
        </w:rPr>
        <w:t xml:space="preserve"> </w:t>
      </w:r>
      <w:r w:rsidR="005965D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55720"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5965D9" w:rsidRDefault="004A3D17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18.04.2019 № 91-Р</w:t>
      </w:r>
    </w:p>
    <w:p w:rsidR="00D11D04" w:rsidRDefault="00D11D04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8F6179" w:rsidRDefault="008F6179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8F6179" w:rsidRDefault="008F6179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965D9" w:rsidRDefault="005965D9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5965D9" w:rsidRDefault="005965D9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учетной политике</w:t>
      </w:r>
    </w:p>
    <w:p w:rsidR="005965D9" w:rsidRDefault="005965D9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города Невинномысска</w:t>
      </w:r>
    </w:p>
    <w:p w:rsidR="008C2161" w:rsidRDefault="008C2161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921501" w:rsidRDefault="00921501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D04" w:rsidRPr="00592B1C" w:rsidRDefault="00D11D04" w:rsidP="00921501">
      <w:pPr>
        <w:spacing w:after="0" w:line="240" w:lineRule="auto"/>
        <w:ind w:left="49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1C" w:rsidRPr="00592B1C" w:rsidRDefault="00592B1C" w:rsidP="005965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592B1C" w:rsidRPr="00592B1C" w:rsidRDefault="00592B1C" w:rsidP="00FF30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дебиторской задолженности сомнительной или безнадежной к взысканию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2B1C" w:rsidRPr="00FF30DF" w:rsidRDefault="00FF30DF" w:rsidP="00FF30D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30D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2B1C" w:rsidRPr="00FF30DF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5965D9" w:rsidRPr="005965D9" w:rsidRDefault="005965D9" w:rsidP="00FF30DF">
      <w:pPr>
        <w:spacing w:after="0" w:line="240" w:lineRule="auto"/>
      </w:pP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92B1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022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CD9"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дебиторской задолженности сомнительной или безнадежной к взысканию</w:t>
      </w:r>
      <w:r w:rsidR="00022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Положение)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 с Гражданским кодексом</w:t>
      </w:r>
      <w:r w:rsidR="00B64E9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2B1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80066">
        <w:rPr>
          <w:rFonts w:ascii="Times New Roman" w:hAnsi="Times New Roman" w:cs="Times New Roman"/>
          <w:sz w:val="28"/>
          <w:szCs w:val="28"/>
        </w:rPr>
        <w:t>0</w:t>
      </w:r>
      <w:r w:rsidRPr="00592B1C">
        <w:rPr>
          <w:rFonts w:ascii="Times New Roman" w:hAnsi="Times New Roman" w:cs="Times New Roman"/>
          <w:sz w:val="28"/>
          <w:szCs w:val="28"/>
        </w:rPr>
        <w:t>2 октября 2007</w:t>
      </w:r>
      <w:r w:rsidR="004B495C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г</w:t>
      </w:r>
      <w:r w:rsidR="00FF30DF">
        <w:rPr>
          <w:rFonts w:ascii="Times New Roman" w:hAnsi="Times New Roman" w:cs="Times New Roman"/>
          <w:sz w:val="28"/>
          <w:szCs w:val="28"/>
        </w:rPr>
        <w:t>ода</w:t>
      </w:r>
      <w:r w:rsidRPr="00592B1C">
        <w:rPr>
          <w:rFonts w:ascii="Times New Roman" w:hAnsi="Times New Roman" w:cs="Times New Roman"/>
          <w:sz w:val="28"/>
          <w:szCs w:val="28"/>
        </w:rPr>
        <w:t xml:space="preserve"> № 229-ФЗ «Об исполнительном производстве»</w:t>
      </w:r>
      <w:r w:rsidRPr="0059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47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0DF">
        <w:rPr>
          <w:rFonts w:ascii="Times New Roman" w:hAnsi="Times New Roman" w:cs="Times New Roman"/>
          <w:sz w:val="28"/>
          <w:szCs w:val="28"/>
        </w:rPr>
        <w:t>п</w:t>
      </w:r>
      <w:r w:rsidRPr="00592B1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47CE2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47CE2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 xml:space="preserve">финансов Российской </w:t>
      </w:r>
      <w:r w:rsidR="00B64E9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47CE2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 xml:space="preserve">от </w:t>
      </w:r>
      <w:r w:rsidR="00647CE2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>30</w:t>
      </w:r>
      <w:r w:rsidR="00647CE2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47CE2">
        <w:rPr>
          <w:rFonts w:ascii="Times New Roman" w:hAnsi="Times New Roman" w:cs="Times New Roman"/>
          <w:sz w:val="28"/>
          <w:szCs w:val="28"/>
        </w:rPr>
        <w:t xml:space="preserve"> </w:t>
      </w:r>
      <w:r w:rsidRPr="00592B1C">
        <w:rPr>
          <w:rFonts w:ascii="Times New Roman" w:hAnsi="Times New Roman" w:cs="Times New Roman"/>
          <w:sz w:val="28"/>
          <w:szCs w:val="28"/>
        </w:rPr>
        <w:t xml:space="preserve">2017г. 32н «О порядке осуществления территориальными органами федерального казначейства полномочий получателя средств федерального бюджета (бюджета субъекта </w:t>
      </w:r>
      <w:r w:rsidR="00D97F98">
        <w:rPr>
          <w:rFonts w:ascii="Times New Roman" w:hAnsi="Times New Roman" w:cs="Times New Roman"/>
          <w:sz w:val="28"/>
          <w:szCs w:val="28"/>
        </w:rPr>
        <w:t>Р</w:t>
      </w:r>
      <w:r w:rsidRPr="00592B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7F98">
        <w:rPr>
          <w:rFonts w:ascii="Times New Roman" w:hAnsi="Times New Roman" w:cs="Times New Roman"/>
          <w:sz w:val="28"/>
          <w:szCs w:val="28"/>
        </w:rPr>
        <w:t xml:space="preserve">Федерации) </w:t>
      </w:r>
      <w:r w:rsidRPr="00592B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2B1C">
        <w:rPr>
          <w:rFonts w:ascii="Times New Roman" w:hAnsi="Times New Roman" w:cs="Times New Roman"/>
          <w:sz w:val="28"/>
          <w:szCs w:val="28"/>
        </w:rPr>
        <w:t xml:space="preserve"> перечислению межбюджетных трансфертов, предоставляемых из федерального бюджета (бюджета субъекта </w:t>
      </w:r>
      <w:r w:rsidR="00D97F98">
        <w:rPr>
          <w:rFonts w:ascii="Times New Roman" w:hAnsi="Times New Roman" w:cs="Times New Roman"/>
          <w:sz w:val="28"/>
          <w:szCs w:val="28"/>
        </w:rPr>
        <w:t>Р</w:t>
      </w:r>
      <w:r w:rsidRPr="00592B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7F98">
        <w:rPr>
          <w:rFonts w:ascii="Times New Roman" w:hAnsi="Times New Roman" w:cs="Times New Roman"/>
          <w:sz w:val="28"/>
          <w:szCs w:val="28"/>
        </w:rPr>
        <w:t>Ф</w:t>
      </w:r>
      <w:r w:rsidRPr="00592B1C">
        <w:rPr>
          <w:rFonts w:ascii="Times New Roman" w:hAnsi="Times New Roman" w:cs="Times New Roman"/>
          <w:sz w:val="28"/>
          <w:szCs w:val="28"/>
        </w:rPr>
        <w:t xml:space="preserve">едерации) бюджету субъекта </w:t>
      </w:r>
      <w:r w:rsidR="00D97F98">
        <w:rPr>
          <w:rFonts w:ascii="Times New Roman" w:hAnsi="Times New Roman" w:cs="Times New Roman"/>
          <w:sz w:val="28"/>
          <w:szCs w:val="28"/>
        </w:rPr>
        <w:t>Р</w:t>
      </w:r>
      <w:r w:rsidRPr="00592B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7F98">
        <w:rPr>
          <w:rFonts w:ascii="Times New Roman" w:hAnsi="Times New Roman" w:cs="Times New Roman"/>
          <w:sz w:val="28"/>
          <w:szCs w:val="28"/>
        </w:rPr>
        <w:t>Ф</w:t>
      </w:r>
      <w:r w:rsidRPr="00592B1C">
        <w:rPr>
          <w:rFonts w:ascii="Times New Roman" w:hAnsi="Times New Roman" w:cs="Times New Roman"/>
          <w:sz w:val="28"/>
          <w:szCs w:val="28"/>
        </w:rPr>
        <w:t>едерации (местному бюджету) в форме субсидий, субвенций и иных межбюджетных трансфертов, имеющих целевое назначение</w:t>
      </w:r>
      <w:r w:rsidR="00D97F98">
        <w:rPr>
          <w:rFonts w:ascii="Times New Roman" w:hAnsi="Times New Roman" w:cs="Times New Roman"/>
          <w:sz w:val="28"/>
          <w:szCs w:val="28"/>
        </w:rPr>
        <w:t>»</w:t>
      </w:r>
      <w:r w:rsidR="00FF30DF">
        <w:rPr>
          <w:rFonts w:ascii="Times New Roman" w:hAnsi="Times New Roman" w:cs="Times New Roman"/>
          <w:sz w:val="28"/>
          <w:szCs w:val="28"/>
        </w:rPr>
        <w:t>.</w:t>
      </w: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устанавливает правила и условия признания сомнительной или безнадежной к взысканию дебиторской задолженности </w:t>
      </w:r>
      <w:r w:rsidRPr="00592B1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B1C" w:rsidRPr="00592B1C" w:rsidRDefault="00592B1C" w:rsidP="00E12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2B1C" w:rsidRDefault="00592B1C" w:rsidP="00E125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2. Критерии признания дебиторской задолженности сомнительной или безнадежной к взысканию</w:t>
      </w:r>
    </w:p>
    <w:p w:rsidR="00FF30DF" w:rsidRPr="00592B1C" w:rsidRDefault="00FF30DF" w:rsidP="00E125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Основанием для признания дебиторской задолженности безнадежной к взысканию является:</w:t>
      </w:r>
    </w:p>
    <w:p w:rsidR="000358D5" w:rsidRPr="00642158" w:rsidRDefault="00006A98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D5" w:rsidRPr="00642158">
        <w:rPr>
          <w:rFonts w:ascii="Times New Roman" w:hAnsi="Times New Roman" w:cs="Times New Roman"/>
          <w:sz w:val="28"/>
          <w:szCs w:val="28"/>
        </w:rPr>
        <w:t>смерт</w:t>
      </w:r>
      <w:r w:rsidR="000358D5">
        <w:rPr>
          <w:rFonts w:ascii="Times New Roman" w:hAnsi="Times New Roman" w:cs="Times New Roman"/>
          <w:sz w:val="28"/>
          <w:szCs w:val="28"/>
        </w:rPr>
        <w:t>ь</w:t>
      </w:r>
      <w:r w:rsidR="000358D5" w:rsidRPr="00642158">
        <w:rPr>
          <w:rFonts w:ascii="Times New Roman" w:hAnsi="Times New Roman" w:cs="Times New Roman"/>
          <w:sz w:val="28"/>
          <w:szCs w:val="28"/>
        </w:rPr>
        <w:t xml:space="preserve"> физического лица - </w:t>
      </w:r>
      <w:r w:rsidR="00E97E7C">
        <w:rPr>
          <w:rFonts w:ascii="Times New Roman" w:hAnsi="Times New Roman" w:cs="Times New Roman"/>
          <w:sz w:val="28"/>
          <w:szCs w:val="28"/>
        </w:rPr>
        <w:t>должника</w:t>
      </w:r>
      <w:r w:rsidR="000358D5" w:rsidRPr="00642158">
        <w:rPr>
          <w:rFonts w:ascii="Times New Roman" w:hAnsi="Times New Roman" w:cs="Times New Roman"/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</w:t>
      </w:r>
      <w:r w:rsidR="00E97E7C">
        <w:rPr>
          <w:rFonts w:ascii="Times New Roman" w:hAnsi="Times New Roman" w:cs="Times New Roman"/>
          <w:sz w:val="28"/>
          <w:szCs w:val="28"/>
        </w:rPr>
        <w:t>, если его обязанности не могут перейти к его наследникам</w:t>
      </w:r>
      <w:r w:rsidR="000358D5" w:rsidRPr="00642158">
        <w:rPr>
          <w:rFonts w:ascii="Times New Roman" w:hAnsi="Times New Roman" w:cs="Times New Roman"/>
          <w:sz w:val="28"/>
          <w:szCs w:val="28"/>
        </w:rPr>
        <w:t>;</w:t>
      </w:r>
    </w:p>
    <w:p w:rsidR="000358D5" w:rsidRPr="00642158" w:rsidRDefault="000358D5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8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215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- </w:t>
      </w:r>
      <w:r w:rsidR="00E97E7C">
        <w:rPr>
          <w:rFonts w:ascii="Times New Roman" w:hAnsi="Times New Roman" w:cs="Times New Roman"/>
          <w:sz w:val="28"/>
          <w:szCs w:val="28"/>
        </w:rPr>
        <w:t>должника</w:t>
      </w:r>
      <w:r w:rsidRPr="00642158">
        <w:rPr>
          <w:rFonts w:ascii="Times New Roman" w:hAnsi="Times New Roman" w:cs="Times New Roman"/>
          <w:sz w:val="28"/>
          <w:szCs w:val="28"/>
        </w:rPr>
        <w:t xml:space="preserve"> </w:t>
      </w:r>
      <w:r w:rsidR="0085194F">
        <w:rPr>
          <w:rFonts w:ascii="Times New Roman" w:hAnsi="Times New Roman" w:cs="Times New Roman"/>
          <w:sz w:val="28"/>
          <w:szCs w:val="28"/>
        </w:rPr>
        <w:t xml:space="preserve">или крестьянского (фермерского) хозяйства </w:t>
      </w:r>
      <w:r w:rsidRPr="006421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E43C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2158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E97E7C">
        <w:rPr>
          <w:rFonts w:ascii="Times New Roman" w:hAnsi="Times New Roman" w:cs="Times New Roman"/>
          <w:sz w:val="28"/>
          <w:szCs w:val="28"/>
        </w:rPr>
        <w:t>№</w:t>
      </w:r>
      <w:r w:rsidRPr="00642158">
        <w:rPr>
          <w:rFonts w:ascii="Times New Roman" w:hAnsi="Times New Roman" w:cs="Times New Roman"/>
          <w:sz w:val="28"/>
          <w:szCs w:val="28"/>
        </w:rPr>
        <w:t xml:space="preserve"> 127-ФЗ </w:t>
      </w:r>
      <w:r w:rsidR="00E97E7C">
        <w:rPr>
          <w:rFonts w:ascii="Times New Roman" w:hAnsi="Times New Roman" w:cs="Times New Roman"/>
          <w:sz w:val="28"/>
          <w:szCs w:val="28"/>
        </w:rPr>
        <w:t>«</w:t>
      </w:r>
      <w:r w:rsidRPr="00642158">
        <w:rPr>
          <w:rFonts w:ascii="Times New Roman" w:hAnsi="Times New Roman" w:cs="Times New Roman"/>
          <w:sz w:val="28"/>
          <w:szCs w:val="28"/>
        </w:rPr>
        <w:t>О несостоятельности (банк</w:t>
      </w:r>
      <w:r w:rsidR="00E97E7C">
        <w:rPr>
          <w:rFonts w:ascii="Times New Roman" w:hAnsi="Times New Roman" w:cs="Times New Roman"/>
          <w:sz w:val="28"/>
          <w:szCs w:val="28"/>
        </w:rPr>
        <w:t>ротстве)»</w:t>
      </w:r>
      <w:r w:rsidRPr="00642158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</w:t>
      </w:r>
      <w:r w:rsidR="00E97E7C">
        <w:rPr>
          <w:rFonts w:ascii="Times New Roman" w:hAnsi="Times New Roman" w:cs="Times New Roman"/>
          <w:sz w:val="28"/>
          <w:szCs w:val="28"/>
        </w:rPr>
        <w:t>ой</w:t>
      </w:r>
      <w:r w:rsidRPr="00642158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</w:t>
      </w:r>
    </w:p>
    <w:p w:rsidR="000358D5" w:rsidRDefault="000358D5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8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15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97E7C">
        <w:rPr>
          <w:rFonts w:ascii="Times New Roman" w:hAnsi="Times New Roman" w:cs="Times New Roman"/>
          <w:sz w:val="28"/>
          <w:szCs w:val="28"/>
        </w:rPr>
        <w:t>–</w:t>
      </w:r>
      <w:r w:rsidRPr="00642158">
        <w:rPr>
          <w:rFonts w:ascii="Times New Roman" w:hAnsi="Times New Roman" w:cs="Times New Roman"/>
          <w:sz w:val="28"/>
          <w:szCs w:val="28"/>
        </w:rPr>
        <w:t xml:space="preserve"> </w:t>
      </w:r>
      <w:r w:rsidR="00E97E7C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Pr="00642158">
        <w:rPr>
          <w:rFonts w:ascii="Times New Roman" w:hAnsi="Times New Roman" w:cs="Times New Roman"/>
          <w:sz w:val="28"/>
          <w:szCs w:val="28"/>
        </w:rPr>
        <w:t>в части задолженности, не погашенн</w:t>
      </w:r>
      <w:r w:rsidR="005B2063">
        <w:rPr>
          <w:rFonts w:ascii="Times New Roman" w:hAnsi="Times New Roman" w:cs="Times New Roman"/>
          <w:sz w:val="28"/>
          <w:szCs w:val="28"/>
        </w:rPr>
        <w:t>ой</w:t>
      </w:r>
      <w:r w:rsidRPr="00642158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74DBB" w:rsidRPr="00642158" w:rsidRDefault="00574DBB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</w:t>
      </w:r>
      <w:r w:rsidR="00BC1529">
        <w:rPr>
          <w:rFonts w:ascii="Times New Roman" w:hAnsi="Times New Roman" w:cs="Times New Roman"/>
          <w:sz w:val="28"/>
          <w:szCs w:val="28"/>
        </w:rPr>
        <w:t xml:space="preserve"> деятельности индивидуального предпринимателя</w:t>
      </w:r>
      <w:r w:rsidR="00A543A8">
        <w:rPr>
          <w:rFonts w:ascii="Times New Roman" w:hAnsi="Times New Roman" w:cs="Times New Roman"/>
          <w:sz w:val="28"/>
          <w:szCs w:val="28"/>
        </w:rPr>
        <w:t xml:space="preserve"> –</w:t>
      </w:r>
      <w:r w:rsidR="00BC1529">
        <w:rPr>
          <w:rFonts w:ascii="Times New Roman" w:hAnsi="Times New Roman" w:cs="Times New Roman"/>
          <w:sz w:val="28"/>
          <w:szCs w:val="28"/>
        </w:rPr>
        <w:t xml:space="preserve"> должника</w:t>
      </w:r>
      <w:r w:rsidR="00A543A8">
        <w:rPr>
          <w:rFonts w:ascii="Times New Roman" w:hAnsi="Times New Roman" w:cs="Times New Roman"/>
          <w:sz w:val="28"/>
          <w:szCs w:val="28"/>
        </w:rPr>
        <w:t>;</w:t>
      </w:r>
    </w:p>
    <w:p w:rsidR="000358D5" w:rsidRPr="00642158" w:rsidRDefault="000358D5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8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2158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</w:t>
      </w:r>
      <w:r w:rsidR="00A4116D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Pr="00642158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0358D5" w:rsidRPr="000358D5" w:rsidRDefault="000358D5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58">
        <w:rPr>
          <w:rFonts w:ascii="Times New Roman" w:hAnsi="Times New Roman" w:cs="Times New Roman"/>
          <w:sz w:val="28"/>
          <w:szCs w:val="28"/>
        </w:rPr>
        <w:t>вынесени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215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7" w:history="1">
        <w:r w:rsidRPr="000358D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358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358D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0358D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57009">
        <w:rPr>
          <w:rFonts w:ascii="Times New Roman" w:hAnsi="Times New Roman" w:cs="Times New Roman"/>
          <w:sz w:val="28"/>
          <w:szCs w:val="28"/>
        </w:rPr>
        <w:t>0</w:t>
      </w:r>
      <w:r w:rsidRPr="000358D5">
        <w:rPr>
          <w:rFonts w:ascii="Times New Roman" w:hAnsi="Times New Roman" w:cs="Times New Roman"/>
          <w:sz w:val="28"/>
          <w:szCs w:val="28"/>
        </w:rPr>
        <w:t xml:space="preserve">2 октября 2007 года </w:t>
      </w:r>
      <w:r w:rsidR="00A4116D">
        <w:rPr>
          <w:rFonts w:ascii="Times New Roman" w:hAnsi="Times New Roman" w:cs="Times New Roman"/>
          <w:sz w:val="28"/>
          <w:szCs w:val="28"/>
        </w:rPr>
        <w:t>№</w:t>
      </w:r>
      <w:r w:rsidRPr="000358D5">
        <w:rPr>
          <w:rFonts w:ascii="Times New Roman" w:hAnsi="Times New Roman" w:cs="Times New Roman"/>
          <w:sz w:val="28"/>
          <w:szCs w:val="28"/>
        </w:rPr>
        <w:t xml:space="preserve"> 229-ФЗ </w:t>
      </w:r>
      <w:r w:rsidR="00A4116D">
        <w:rPr>
          <w:rFonts w:ascii="Times New Roman" w:hAnsi="Times New Roman" w:cs="Times New Roman"/>
          <w:sz w:val="28"/>
          <w:szCs w:val="28"/>
        </w:rPr>
        <w:t>«</w:t>
      </w:r>
      <w:r w:rsidRPr="000358D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41037B">
        <w:rPr>
          <w:rFonts w:ascii="Times New Roman" w:hAnsi="Times New Roman" w:cs="Times New Roman"/>
          <w:sz w:val="28"/>
          <w:szCs w:val="28"/>
        </w:rPr>
        <w:t>»</w:t>
      </w:r>
      <w:r w:rsidRPr="000358D5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0358D5" w:rsidRPr="00642158" w:rsidRDefault="000358D5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D5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9" w:history="1">
        <w:r w:rsidRPr="000358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58D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42158">
        <w:rPr>
          <w:rFonts w:ascii="Times New Roman" w:hAnsi="Times New Roman" w:cs="Times New Roman"/>
          <w:sz w:val="28"/>
          <w:szCs w:val="28"/>
        </w:rPr>
        <w:t>Федерации о несостоятельности (банкротстве) для возбуждения производства по делу о банкротстве;</w:t>
      </w:r>
    </w:p>
    <w:p w:rsidR="005A3150" w:rsidRDefault="000358D5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58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</w:t>
      </w:r>
      <w:r w:rsidR="0041037B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Pr="00642158">
        <w:rPr>
          <w:rFonts w:ascii="Times New Roman" w:hAnsi="Times New Roman" w:cs="Times New Roman"/>
          <w:sz w:val="28"/>
          <w:szCs w:val="28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5A3150">
        <w:rPr>
          <w:rFonts w:ascii="Times New Roman" w:hAnsi="Times New Roman" w:cs="Times New Roman"/>
          <w:sz w:val="28"/>
          <w:szCs w:val="28"/>
        </w:rPr>
        <w:t>;</w:t>
      </w:r>
    </w:p>
    <w:p w:rsidR="000358D5" w:rsidRPr="00642158" w:rsidRDefault="005A3150" w:rsidP="00E12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</w:t>
      </w:r>
      <w:r w:rsidR="009E422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ается полностью или в части</w:t>
      </w:r>
      <w:r w:rsidR="000358D5" w:rsidRPr="00642158">
        <w:rPr>
          <w:rFonts w:ascii="Times New Roman" w:hAnsi="Times New Roman" w:cs="Times New Roman"/>
          <w:sz w:val="28"/>
          <w:szCs w:val="28"/>
        </w:rPr>
        <w:t>.</w:t>
      </w: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Сомнительной </w:t>
      </w:r>
      <w:r w:rsidRPr="00592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признается задолженность при условии, что должник нарушил сроки исполнения обязательства, и наличии одного из следующих обст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оятельств:</w:t>
      </w: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обеспечения долга залогом, задатком, поручительством, банковской гарантией и т. п.;</w:t>
      </w: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возбуждение процедуры банкротства в отношении должника.</w:t>
      </w:r>
    </w:p>
    <w:p w:rsidR="00592B1C" w:rsidRPr="00592B1C" w:rsidRDefault="00592B1C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2.4. Не призна</w:t>
      </w:r>
      <w:r w:rsidR="00DB57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тся сомнительн</w:t>
      </w:r>
      <w:r w:rsidR="00DB57A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2B1C" w:rsidRPr="00592B1C" w:rsidRDefault="0029797D" w:rsidP="00E12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 по обязательствам 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>должника, просрочка исполнения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30 дней;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задолженность заказчиков по договорам оказания услуг или выполнения работ, по которым срок действия договора не истек.</w:t>
      </w:r>
    </w:p>
    <w:p w:rsidR="00592B1C" w:rsidRPr="00592B1C" w:rsidRDefault="00592B1C" w:rsidP="004B4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1C" w:rsidRDefault="00592B1C" w:rsidP="004B49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признания дебиторской задолженности сомнительной или безнадежной к взысканию</w:t>
      </w:r>
    </w:p>
    <w:p w:rsidR="00FF30DF" w:rsidRPr="00592B1C" w:rsidRDefault="00FF30DF" w:rsidP="004B49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2B1C" w:rsidRPr="00592B1C" w:rsidRDefault="00592B1C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3.1. Решение о признании дебиторской задолженности сомнительной или безнадежной к взысканию принимает комиссия по </w:t>
      </w:r>
      <w:r w:rsidRPr="00592B1C">
        <w:rPr>
          <w:rFonts w:ascii="Times New Roman" w:hAnsi="Times New Roman" w:cs="Times New Roman"/>
          <w:sz w:val="28"/>
          <w:szCs w:val="28"/>
        </w:rPr>
        <w:t>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 w:rsidRPr="00592B1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92B1C">
        <w:rPr>
          <w:rFonts w:ascii="Times New Roman" w:hAnsi="Times New Roman" w:cs="Times New Roman"/>
          <w:sz w:val="28"/>
          <w:szCs w:val="28"/>
        </w:rPr>
        <w:t>ассе администрации города</w:t>
      </w:r>
      <w:r w:rsidR="00EC4742">
        <w:rPr>
          <w:rFonts w:ascii="Times New Roman" w:hAnsi="Times New Roman" w:cs="Times New Roman"/>
          <w:sz w:val="28"/>
          <w:szCs w:val="28"/>
        </w:rPr>
        <w:t xml:space="preserve"> Невинномысска 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EC474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Комиссия). 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принимает решение на основании уведомительного письма 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«Межведомственный учетный центр» города Невинномысска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E731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9E73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Учетный центр</w:t>
      </w:r>
      <w:r w:rsidR="009E73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вопроса о признании дебиторской задолженности сомнительной или безнадежной к взысканию.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="00A2220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проводится на следующий рабочий день после поступления уведомительного письма от МКУ </w:t>
      </w:r>
      <w:r w:rsidR="00BE56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четный центр</w:t>
      </w:r>
      <w:r w:rsidR="00BE56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B1C" w:rsidRPr="00592B1C" w:rsidRDefault="00592B1C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3.2. Комиссия призна</w:t>
      </w:r>
      <w:r w:rsidR="00B555D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дебиторскую задолженность сомнительной или безнадежной к взысканию или отка</w:t>
      </w:r>
      <w:r w:rsidR="00B555D6">
        <w:rPr>
          <w:rFonts w:ascii="Times New Roman" w:hAnsi="Times New Roman" w:cs="Times New Roman"/>
          <w:color w:val="000000"/>
          <w:sz w:val="28"/>
          <w:szCs w:val="28"/>
        </w:rPr>
        <w:t>зывает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в признании</w:t>
      </w:r>
      <w:r w:rsidR="00B555D6">
        <w:rPr>
          <w:rFonts w:ascii="Times New Roman" w:hAnsi="Times New Roman" w:cs="Times New Roman"/>
          <w:color w:val="000000"/>
          <w:sz w:val="28"/>
          <w:szCs w:val="28"/>
        </w:rPr>
        <w:t xml:space="preserve"> ее таковой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Комиссия устанавливает факт </w:t>
      </w:r>
      <w:r w:rsidR="00D66ABD">
        <w:rPr>
          <w:rFonts w:ascii="Times New Roman" w:hAnsi="Times New Roman" w:cs="Times New Roman"/>
          <w:color w:val="000000"/>
          <w:sz w:val="28"/>
          <w:szCs w:val="28"/>
        </w:rPr>
        <w:t>наличия или отсутствия оснований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для признания дебиторской задолженности сомнительной или безнадежной к взысканию. При необходимости </w:t>
      </w:r>
      <w:r w:rsidR="005755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53D50">
        <w:rPr>
          <w:rFonts w:ascii="Times New Roman" w:hAnsi="Times New Roman" w:cs="Times New Roman"/>
          <w:color w:val="000000"/>
          <w:sz w:val="28"/>
          <w:szCs w:val="28"/>
        </w:rPr>
        <w:t xml:space="preserve">омиссия 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запрашивает у </w:t>
      </w:r>
      <w:r w:rsidR="00FF30DF"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5755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F30DF" w:rsidRPr="00592B1C">
        <w:rPr>
          <w:rFonts w:ascii="Times New Roman" w:hAnsi="Times New Roman" w:cs="Times New Roman"/>
          <w:color w:val="000000"/>
          <w:sz w:val="28"/>
          <w:szCs w:val="28"/>
        </w:rPr>
        <w:t>четный центр</w:t>
      </w:r>
      <w:r w:rsidR="005755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другие документы и разъяснения.</w:t>
      </w:r>
    </w:p>
    <w:p w:rsidR="00592B1C" w:rsidRPr="00592B1C" w:rsidRDefault="00592B1C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3.3. Комиссия признает дебиторскую задолженность сомнительной или 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592B1C">
        <w:rPr>
          <w:rFonts w:ascii="Times New Roman" w:hAnsi="Times New Roman" w:cs="Times New Roman"/>
          <w:color w:val="000000"/>
          <w:sz w:val="28"/>
          <w:szCs w:val="28"/>
        </w:rPr>
        <w:t>окончания срока возможного возобновления процедуры взыскания</w:t>
      </w:r>
      <w:proofErr w:type="gramEnd"/>
      <w:r w:rsidRPr="00592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B1C" w:rsidRPr="00592B1C" w:rsidRDefault="00592B1C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171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. Для признания дебиторской задолженности сомнительной или безнадежной к взысканию необходимы следующие документы:</w:t>
      </w:r>
    </w:p>
    <w:p w:rsidR="00592B1C" w:rsidRPr="00592B1C" w:rsidRDefault="000B6373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>) выписка из бухгалтерской отчетности администрации города Невинномысска;</w:t>
      </w:r>
    </w:p>
    <w:p w:rsidR="00592B1C" w:rsidRPr="00592B1C" w:rsidRDefault="000B6373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документы, подтверждающие </w:t>
      </w:r>
      <w:r w:rsidR="00AE2877">
        <w:rPr>
          <w:rFonts w:ascii="Times New Roman" w:hAnsi="Times New Roman" w:cs="Times New Roman"/>
          <w:color w:val="000000"/>
          <w:sz w:val="28"/>
          <w:szCs w:val="28"/>
        </w:rPr>
        <w:t>наличие оснований для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признания задолженности безнадежной к взысканию:</w:t>
      </w:r>
    </w:p>
    <w:p w:rsidR="009E422A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копия постановления о прекращении исполнительного производства;</w:t>
      </w:r>
    </w:p>
    <w:p w:rsidR="00592B1C" w:rsidRPr="00592B1C" w:rsidRDefault="00592B1C" w:rsidP="00FF3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копия решения суда об отказе в удовлетворении требований (части требований) о взыскании задолженности с должника;</w:t>
      </w:r>
    </w:p>
    <w:p w:rsidR="00592B1C" w:rsidRPr="00592B1C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592B1C" w:rsidRPr="00592B1C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B1C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592B1C" w:rsidRPr="00592B1C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592B1C" w:rsidRPr="00592B1C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уполномоченного органа о наступлении чрезвычайных или других непредвиденных обстоятельств;</w:t>
      </w:r>
    </w:p>
    <w:p w:rsidR="00592B1C" w:rsidRPr="00592B1C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B1C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</w:t>
      </w:r>
      <w:r w:rsidR="004D5AE4">
        <w:rPr>
          <w:rFonts w:ascii="Times New Roman" w:hAnsi="Times New Roman" w:cs="Times New Roman"/>
          <w:color w:val="000000"/>
          <w:sz w:val="28"/>
          <w:szCs w:val="28"/>
        </w:rPr>
        <w:t>льного предпринимателя) умершим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92B1C" w:rsidRPr="00592B1C" w:rsidRDefault="000E7181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>) документы, подтверждающие случаи признания задолженности сомнительной:</w:t>
      </w:r>
    </w:p>
    <w:p w:rsidR="00A118FD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договор с контрагентом, выписка из него или копия договора;</w:t>
      </w:r>
    </w:p>
    <w:p w:rsidR="00592B1C" w:rsidRPr="00592B1C" w:rsidRDefault="00592B1C" w:rsidP="00A11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возбуждение процедуры банкротства</w:t>
      </w:r>
      <w:r w:rsidR="00E36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B1C" w:rsidRPr="00592B1C" w:rsidRDefault="00592B1C" w:rsidP="00DD7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C00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Комиссии оформляется </w:t>
      </w:r>
      <w:r w:rsidR="002E0C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ктом о признании дебиторской задолженности сомнительной или безнадежной к взысканию, </w:t>
      </w:r>
      <w:r w:rsidR="002C00B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к 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2C00B3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2C00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B1C" w:rsidRDefault="002B23C7" w:rsidP="00022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>омиссии о признании дебиторской задолженности сомнительной или безнадежной к взысканию утверждается главой города Невинномысска.</w:t>
      </w:r>
    </w:p>
    <w:p w:rsidR="008C2161" w:rsidRDefault="008C2161" w:rsidP="00022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161" w:rsidRDefault="008C2161" w:rsidP="00022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783" w:rsidRDefault="00D05783" w:rsidP="00022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161" w:rsidRDefault="008C2161" w:rsidP="008C2161">
      <w:pPr>
        <w:pStyle w:val="a3"/>
        <w:tabs>
          <w:tab w:val="left" w:pos="0"/>
        </w:tabs>
        <w:spacing w:line="240" w:lineRule="exact"/>
        <w:ind w:right="-1276"/>
        <w:jc w:val="left"/>
      </w:pPr>
      <w:r>
        <w:t>Первый заместитель главы</w:t>
      </w:r>
    </w:p>
    <w:p w:rsidR="00216DB4" w:rsidRDefault="008C2161" w:rsidP="00986FD4">
      <w:pPr>
        <w:pStyle w:val="a3"/>
        <w:tabs>
          <w:tab w:val="left" w:pos="0"/>
        </w:tabs>
        <w:spacing w:line="240" w:lineRule="exact"/>
        <w:ind w:right="-2"/>
        <w:jc w:val="left"/>
      </w:pPr>
      <w:r>
        <w:t>администрации города Невинномысска                                          В.Э. Соколюк</w:t>
      </w:r>
    </w:p>
    <w:p w:rsidR="00316B0C" w:rsidRDefault="00216DB4">
      <w:pPr>
        <w:sectPr w:rsidR="00316B0C" w:rsidSect="00BC081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216DB4" w:rsidRDefault="00216DB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2B1C" w:rsidRPr="00592B1C" w:rsidRDefault="00216DB4" w:rsidP="00216DB4">
      <w:pPr>
        <w:pStyle w:val="a3"/>
        <w:tabs>
          <w:tab w:val="left" w:pos="0"/>
        </w:tabs>
        <w:spacing w:line="240" w:lineRule="exact"/>
        <w:ind w:right="-2"/>
        <w:jc w:val="left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592B1C" w:rsidRPr="00592B1C">
        <w:rPr>
          <w:color w:val="000000"/>
          <w:szCs w:val="28"/>
        </w:rPr>
        <w:t xml:space="preserve">Приложение  </w:t>
      </w:r>
      <w:r w:rsidR="00592B1C" w:rsidRPr="00592B1C">
        <w:rPr>
          <w:color w:val="000000"/>
          <w:szCs w:val="28"/>
        </w:rPr>
        <w:br/>
      </w:r>
      <w:r>
        <w:rPr>
          <w:color w:val="000000"/>
          <w:szCs w:val="28"/>
        </w:rPr>
        <w:t xml:space="preserve">                                                                                              </w:t>
      </w:r>
      <w:r w:rsidR="00592B1C" w:rsidRPr="00592B1C">
        <w:rPr>
          <w:color w:val="000000"/>
          <w:szCs w:val="28"/>
        </w:rPr>
        <w:t>к Положению</w:t>
      </w:r>
    </w:p>
    <w:p w:rsidR="00592B1C" w:rsidRPr="00592B1C" w:rsidRDefault="00592B1C" w:rsidP="009F2B6C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признании </w:t>
      </w:r>
      <w:proofErr w:type="gramStart"/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дебиторской</w:t>
      </w:r>
      <w:proofErr w:type="gramEnd"/>
    </w:p>
    <w:p w:rsidR="00592B1C" w:rsidRPr="00592B1C" w:rsidRDefault="00592B1C" w:rsidP="009F2B6C">
      <w:pPr>
        <w:spacing w:after="0" w:line="240" w:lineRule="auto"/>
        <w:ind w:left="524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задолженности сомнительной</w:t>
      </w:r>
    </w:p>
    <w:p w:rsidR="00592B1C" w:rsidRPr="00592B1C" w:rsidRDefault="00592B1C" w:rsidP="009F2B6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</w:t>
      </w:r>
      <w:proofErr w:type="gramStart"/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>безнадежной</w:t>
      </w:r>
      <w:proofErr w:type="gramEnd"/>
      <w:r w:rsidRPr="00592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взысканию</w:t>
      </w:r>
    </w:p>
    <w:p w:rsidR="00695886" w:rsidRDefault="00695886" w:rsidP="00695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695886" w:rsidRDefault="00695886" w:rsidP="00695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5886" w:rsidRDefault="00695886" w:rsidP="00695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5886" w:rsidRDefault="00695886" w:rsidP="00695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5886" w:rsidRPr="00695886" w:rsidRDefault="00695886" w:rsidP="00695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24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695886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695886" w:rsidRPr="00695886" w:rsidRDefault="00695886" w:rsidP="006958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24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95886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Невинномысска </w:t>
      </w:r>
    </w:p>
    <w:p w:rsidR="0029148C" w:rsidRDefault="00024D5C" w:rsidP="00291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695886" w:rsidRPr="00695886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</w:t>
      </w:r>
    </w:p>
    <w:p w:rsidR="00695886" w:rsidRPr="00695886" w:rsidRDefault="0029148C" w:rsidP="00291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24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26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886" w:rsidRPr="0069588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_____Ф.И.О.</w:t>
      </w:r>
    </w:p>
    <w:p w:rsidR="00592B1C" w:rsidRPr="00592B1C" w:rsidRDefault="009868AB" w:rsidP="009868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024D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886" w:rsidRPr="00695886">
        <w:rPr>
          <w:rFonts w:ascii="Times New Roman" w:hAnsi="Times New Roman" w:cs="Times New Roman"/>
          <w:color w:val="000000"/>
          <w:sz w:val="28"/>
          <w:szCs w:val="28"/>
        </w:rPr>
        <w:t>«____» _______________ 20</w:t>
      </w:r>
      <w:r w:rsidR="00B6649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95886" w:rsidRPr="0069588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95886" w:rsidRDefault="00695886" w:rsidP="0002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886" w:rsidRDefault="00695886" w:rsidP="0002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886" w:rsidRDefault="00695886" w:rsidP="0002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886" w:rsidRDefault="00695886" w:rsidP="0002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1C" w:rsidRPr="00592B1C" w:rsidRDefault="00592B1C" w:rsidP="0002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351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</w:p>
    <w:p w:rsidR="00592B1C" w:rsidRPr="00592B1C" w:rsidRDefault="00592B1C" w:rsidP="0002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дебиторской задолженности сомнительной или безнадежной к взысканию </w:t>
      </w:r>
    </w:p>
    <w:p w:rsidR="00592B1C" w:rsidRDefault="00592B1C" w:rsidP="00022CD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92B1C">
        <w:rPr>
          <w:rFonts w:ascii="Times New Roman" w:hAnsi="Times New Roman" w:cs="Times New Roman"/>
          <w:iCs/>
          <w:color w:val="000000"/>
          <w:sz w:val="28"/>
          <w:szCs w:val="28"/>
        </w:rPr>
        <w:t>«__» ____________ 20__ г.</w:t>
      </w:r>
    </w:p>
    <w:p w:rsidR="005B0786" w:rsidRDefault="005B0786" w:rsidP="00022CD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B4494" w:rsidRPr="00592B1C" w:rsidRDefault="008B4494" w:rsidP="00022CD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E422A" w:rsidRDefault="00592B1C" w:rsidP="001E6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B1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="001E66CA">
        <w:rPr>
          <w:rFonts w:ascii="Times New Roman" w:hAnsi="Times New Roman" w:cs="Times New Roman"/>
          <w:color w:val="000000"/>
          <w:sz w:val="28"/>
          <w:szCs w:val="28"/>
        </w:rPr>
        <w:t>о признании дебиторской задолженности сомнительной или безнадежной к взысканию комиссия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 по 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 w:rsidR="009E422A">
        <w:rPr>
          <w:rFonts w:ascii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="009E422A">
        <w:rPr>
          <w:rFonts w:ascii="Times New Roman" w:hAnsi="Times New Roman" w:cs="Times New Roman"/>
          <w:color w:val="000000"/>
          <w:sz w:val="28"/>
          <w:szCs w:val="28"/>
        </w:rPr>
        <w:t>ассе администрации города Невинномысска</w:t>
      </w:r>
      <w:r w:rsidR="001E66CA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422A" w:rsidRDefault="009E422A" w:rsidP="009E4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="001E66CA">
        <w:rPr>
          <w:rFonts w:ascii="Times New Roman" w:hAnsi="Times New Roman" w:cs="Times New Roman"/>
          <w:color w:val="000000"/>
          <w:sz w:val="28"/>
          <w:szCs w:val="28"/>
        </w:rPr>
        <w:t xml:space="preserve"> решила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2B1C" w:rsidRPr="009E422A" w:rsidRDefault="00ED6C8E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92B1C" w:rsidRPr="009E422A">
        <w:rPr>
          <w:rFonts w:ascii="Times New Roman" w:hAnsi="Times New Roman" w:cs="Times New Roman"/>
          <w:color w:val="000000"/>
          <w:sz w:val="28"/>
          <w:szCs w:val="28"/>
        </w:rPr>
        <w:t>ризнать следующую дебиторскую задолженность безнадежной к взысканию:</w:t>
      </w:r>
    </w:p>
    <w:p w:rsidR="00592B1C" w:rsidRPr="00592B1C" w:rsidRDefault="00592B1C" w:rsidP="0002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721"/>
        <w:gridCol w:w="1794"/>
        <w:gridCol w:w="1892"/>
        <w:gridCol w:w="1701"/>
      </w:tblGrid>
      <w:tr w:rsidR="00592B1C" w:rsidRPr="00D55C7F" w:rsidTr="00E92A82">
        <w:trPr>
          <w:trHeight w:val="2385"/>
        </w:trPr>
        <w:tc>
          <w:tcPr>
            <w:tcW w:w="2263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Наименование организации (Ф. И. О.) должника, ИНН/ОГРН/КПП</w:t>
            </w:r>
          </w:p>
        </w:tc>
        <w:tc>
          <w:tcPr>
            <w:tcW w:w="1721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 дебиторской задолженности, руб.</w:t>
            </w:r>
          </w:p>
        </w:tc>
        <w:tc>
          <w:tcPr>
            <w:tcW w:w="1794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1892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701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Причины </w:t>
            </w:r>
            <w:proofErr w:type="gramStart"/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</w:tbl>
    <w:p w:rsidR="00592B1C" w:rsidRPr="00592B1C" w:rsidRDefault="00592B1C" w:rsidP="00022C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1C" w:rsidRPr="00592B1C" w:rsidRDefault="00281077" w:rsidP="008031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E4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B1C" w:rsidRPr="00592B1C">
        <w:rPr>
          <w:rFonts w:ascii="Times New Roman" w:hAnsi="Times New Roman" w:cs="Times New Roman"/>
          <w:color w:val="000000"/>
          <w:sz w:val="28"/>
          <w:szCs w:val="28"/>
        </w:rPr>
        <w:t>Признать следующую дебиторскую задолженность сомнительной:</w:t>
      </w:r>
    </w:p>
    <w:p w:rsidR="00592B1C" w:rsidRPr="00592B1C" w:rsidRDefault="00592B1C" w:rsidP="00022C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483"/>
        <w:gridCol w:w="943"/>
        <w:gridCol w:w="694"/>
        <w:gridCol w:w="694"/>
        <w:gridCol w:w="1845"/>
        <w:gridCol w:w="1908"/>
      </w:tblGrid>
      <w:tr w:rsidR="00592B1C" w:rsidRPr="00592B1C" w:rsidTr="00E92A82">
        <w:tc>
          <w:tcPr>
            <w:tcW w:w="1946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Наименование организации (Ф. И. О.) должника, ИНН/ОГРН/КПП</w:t>
            </w:r>
          </w:p>
        </w:tc>
        <w:tc>
          <w:tcPr>
            <w:tcW w:w="3120" w:type="dxa"/>
            <w:gridSpan w:val="3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 дебиторской задолженности, руб.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Основание для признания дебиторской задолженности сомнительной</w:t>
            </w:r>
          </w:p>
        </w:tc>
        <w:tc>
          <w:tcPr>
            <w:tcW w:w="1908" w:type="dxa"/>
            <w:vAlign w:val="center"/>
            <w:hideMark/>
          </w:tcPr>
          <w:p w:rsidR="00592B1C" w:rsidRPr="00D55C7F" w:rsidRDefault="00592B1C" w:rsidP="00022C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55C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Документ, подтверждающий обстоятельство для признания дебиторской задолженности сомнительной</w:t>
            </w:r>
          </w:p>
        </w:tc>
      </w:tr>
      <w:tr w:rsidR="00592B1C" w:rsidRPr="00592B1C" w:rsidTr="00E92A82">
        <w:tc>
          <w:tcPr>
            <w:tcW w:w="1946" w:type="dxa"/>
            <w:hideMark/>
          </w:tcPr>
          <w:p w:rsidR="00592B1C" w:rsidRPr="00592B1C" w:rsidRDefault="00592B1C" w:rsidP="00022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hideMark/>
          </w:tcPr>
          <w:p w:rsidR="00592B1C" w:rsidRPr="00592B1C" w:rsidRDefault="00592B1C" w:rsidP="00022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539" w:type="dxa"/>
            <w:gridSpan w:val="2"/>
            <w:hideMark/>
          </w:tcPr>
          <w:p w:rsidR="00592B1C" w:rsidRPr="00592B1C" w:rsidRDefault="00592B1C" w:rsidP="00022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1908" w:type="dxa"/>
            <w:hideMark/>
          </w:tcPr>
          <w:p w:rsidR="00592B1C" w:rsidRPr="00592B1C" w:rsidRDefault="00592B1C" w:rsidP="00022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8B4494" w:rsidRPr="00592B1C" w:rsidRDefault="008B4494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494" w:rsidRDefault="008B4494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381E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7A4E0C" w:rsidRDefault="00381EF0" w:rsidP="00C064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A4E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(расшифровк</w:t>
            </w:r>
            <w:r w:rsidR="00592B1C" w:rsidRPr="007A4E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а подписи)</w:t>
            </w: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2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7A4E0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A4E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7A4E0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A4E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B1C" w:rsidRPr="00592B1C" w:rsidTr="00E92A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33373E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33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92B1C" w:rsidRPr="00592B1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B1C" w:rsidRPr="007A4E0C" w:rsidRDefault="00592B1C" w:rsidP="00D5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A4E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592B1C" w:rsidRDefault="00592B1C" w:rsidP="00022C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92B1C" w:rsidSect="004A62F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F2" w:rsidRDefault="00C001F2" w:rsidP="00A42F1D">
      <w:pPr>
        <w:spacing w:after="0" w:line="240" w:lineRule="auto"/>
      </w:pPr>
      <w:r>
        <w:separator/>
      </w:r>
    </w:p>
  </w:endnote>
  <w:endnote w:type="continuationSeparator" w:id="0">
    <w:p w:rsidR="00C001F2" w:rsidRDefault="00C001F2" w:rsidP="00A4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F2" w:rsidRDefault="00C001F2" w:rsidP="00A42F1D">
      <w:pPr>
        <w:spacing w:after="0" w:line="240" w:lineRule="auto"/>
      </w:pPr>
      <w:r>
        <w:separator/>
      </w:r>
    </w:p>
  </w:footnote>
  <w:footnote w:type="continuationSeparator" w:id="0">
    <w:p w:rsidR="00C001F2" w:rsidRDefault="00C001F2" w:rsidP="00A4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34695"/>
      <w:docPartObj>
        <w:docPartGallery w:val="Page Numbers (Top of Page)"/>
        <w:docPartUnique/>
      </w:docPartObj>
    </w:sdtPr>
    <w:sdtEndPr/>
    <w:sdtContent>
      <w:p w:rsidR="008571AA" w:rsidRDefault="00857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91">
          <w:rPr>
            <w:noProof/>
          </w:rPr>
          <w:t>2</w:t>
        </w:r>
        <w:r>
          <w:fldChar w:fldCharType="end"/>
        </w:r>
      </w:p>
    </w:sdtContent>
  </w:sdt>
  <w:p w:rsidR="00F43A67" w:rsidRDefault="00F43A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85D23"/>
    <w:multiLevelType w:val="hybridMultilevel"/>
    <w:tmpl w:val="0C20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7C57"/>
    <w:multiLevelType w:val="hybridMultilevel"/>
    <w:tmpl w:val="7A92A74A"/>
    <w:lvl w:ilvl="0" w:tplc="22187B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3"/>
    <w:rsid w:val="00006A98"/>
    <w:rsid w:val="00013049"/>
    <w:rsid w:val="000206A8"/>
    <w:rsid w:val="00020DF0"/>
    <w:rsid w:val="00022A67"/>
    <w:rsid w:val="00022CD9"/>
    <w:rsid w:val="00024D5C"/>
    <w:rsid w:val="00033312"/>
    <w:rsid w:val="000358D5"/>
    <w:rsid w:val="000464FD"/>
    <w:rsid w:val="0004787F"/>
    <w:rsid w:val="00062FC2"/>
    <w:rsid w:val="000724B4"/>
    <w:rsid w:val="00077964"/>
    <w:rsid w:val="00093663"/>
    <w:rsid w:val="00097BE3"/>
    <w:rsid w:val="000B1778"/>
    <w:rsid w:val="000B6373"/>
    <w:rsid w:val="000C1FBE"/>
    <w:rsid w:val="000D684F"/>
    <w:rsid w:val="000E608D"/>
    <w:rsid w:val="000E7181"/>
    <w:rsid w:val="0011137B"/>
    <w:rsid w:val="001238FC"/>
    <w:rsid w:val="00127B27"/>
    <w:rsid w:val="001338E8"/>
    <w:rsid w:val="00137F0C"/>
    <w:rsid w:val="00145758"/>
    <w:rsid w:val="00152419"/>
    <w:rsid w:val="00164132"/>
    <w:rsid w:val="00167D9F"/>
    <w:rsid w:val="001729C0"/>
    <w:rsid w:val="00182012"/>
    <w:rsid w:val="00184275"/>
    <w:rsid w:val="00186D01"/>
    <w:rsid w:val="00187897"/>
    <w:rsid w:val="001A56D2"/>
    <w:rsid w:val="001A6CE9"/>
    <w:rsid w:val="001C39AC"/>
    <w:rsid w:val="001D020D"/>
    <w:rsid w:val="001E1D4E"/>
    <w:rsid w:val="001E5D8A"/>
    <w:rsid w:val="001E66CA"/>
    <w:rsid w:val="001F49D3"/>
    <w:rsid w:val="00216DB4"/>
    <w:rsid w:val="002222FC"/>
    <w:rsid w:val="00233834"/>
    <w:rsid w:val="002467BC"/>
    <w:rsid w:val="00247759"/>
    <w:rsid w:val="0025213C"/>
    <w:rsid w:val="002564B8"/>
    <w:rsid w:val="00265EED"/>
    <w:rsid w:val="00281077"/>
    <w:rsid w:val="0029148C"/>
    <w:rsid w:val="00292055"/>
    <w:rsid w:val="002978EB"/>
    <w:rsid w:val="0029797D"/>
    <w:rsid w:val="002A48AB"/>
    <w:rsid w:val="002B23C7"/>
    <w:rsid w:val="002B434A"/>
    <w:rsid w:val="002C00B3"/>
    <w:rsid w:val="002C14C4"/>
    <w:rsid w:val="002C377A"/>
    <w:rsid w:val="002D5579"/>
    <w:rsid w:val="002E0C65"/>
    <w:rsid w:val="002E70E1"/>
    <w:rsid w:val="002F1409"/>
    <w:rsid w:val="002F5440"/>
    <w:rsid w:val="00304FB0"/>
    <w:rsid w:val="003159F7"/>
    <w:rsid w:val="00316B0C"/>
    <w:rsid w:val="003219F7"/>
    <w:rsid w:val="003315E6"/>
    <w:rsid w:val="0033373E"/>
    <w:rsid w:val="00355720"/>
    <w:rsid w:val="00381EF0"/>
    <w:rsid w:val="003827FF"/>
    <w:rsid w:val="003A2B45"/>
    <w:rsid w:val="003B0875"/>
    <w:rsid w:val="003B1709"/>
    <w:rsid w:val="003B2A5A"/>
    <w:rsid w:val="003C1A7B"/>
    <w:rsid w:val="003D6FE9"/>
    <w:rsid w:val="0041037B"/>
    <w:rsid w:val="00412E61"/>
    <w:rsid w:val="00415132"/>
    <w:rsid w:val="00426A07"/>
    <w:rsid w:val="0045307A"/>
    <w:rsid w:val="00453EBE"/>
    <w:rsid w:val="00455804"/>
    <w:rsid w:val="00456409"/>
    <w:rsid w:val="0049050C"/>
    <w:rsid w:val="004A3D17"/>
    <w:rsid w:val="004A3DFA"/>
    <w:rsid w:val="004A62F1"/>
    <w:rsid w:val="004B495C"/>
    <w:rsid w:val="004C1D3C"/>
    <w:rsid w:val="004D5AE4"/>
    <w:rsid w:val="004F6EC8"/>
    <w:rsid w:val="00503086"/>
    <w:rsid w:val="005034E3"/>
    <w:rsid w:val="0053410D"/>
    <w:rsid w:val="0056453B"/>
    <w:rsid w:val="00565620"/>
    <w:rsid w:val="00574DBB"/>
    <w:rsid w:val="005755B6"/>
    <w:rsid w:val="00592819"/>
    <w:rsid w:val="00592865"/>
    <w:rsid w:val="00592B1C"/>
    <w:rsid w:val="005965D9"/>
    <w:rsid w:val="005A3150"/>
    <w:rsid w:val="005B00F8"/>
    <w:rsid w:val="005B0786"/>
    <w:rsid w:val="005B2063"/>
    <w:rsid w:val="005B60B4"/>
    <w:rsid w:val="005C7532"/>
    <w:rsid w:val="005D351F"/>
    <w:rsid w:val="005E0C0C"/>
    <w:rsid w:val="006006C0"/>
    <w:rsid w:val="0060263B"/>
    <w:rsid w:val="006412C8"/>
    <w:rsid w:val="00647CE2"/>
    <w:rsid w:val="00652DC0"/>
    <w:rsid w:val="00653676"/>
    <w:rsid w:val="00665683"/>
    <w:rsid w:val="00681C30"/>
    <w:rsid w:val="0068603F"/>
    <w:rsid w:val="00687494"/>
    <w:rsid w:val="00695886"/>
    <w:rsid w:val="006A3601"/>
    <w:rsid w:val="006A78C5"/>
    <w:rsid w:val="006C0B59"/>
    <w:rsid w:val="006C1620"/>
    <w:rsid w:val="006C4554"/>
    <w:rsid w:val="006D4A70"/>
    <w:rsid w:val="006E116A"/>
    <w:rsid w:val="006E6FFD"/>
    <w:rsid w:val="006F155B"/>
    <w:rsid w:val="006F27C3"/>
    <w:rsid w:val="006F30F1"/>
    <w:rsid w:val="006F31D9"/>
    <w:rsid w:val="006F3FA4"/>
    <w:rsid w:val="006F4E70"/>
    <w:rsid w:val="007037E4"/>
    <w:rsid w:val="007041E7"/>
    <w:rsid w:val="007041EC"/>
    <w:rsid w:val="0070630D"/>
    <w:rsid w:val="00710E18"/>
    <w:rsid w:val="007404C7"/>
    <w:rsid w:val="00770BF0"/>
    <w:rsid w:val="007A4E0C"/>
    <w:rsid w:val="007A7102"/>
    <w:rsid w:val="007B13B1"/>
    <w:rsid w:val="007B23F0"/>
    <w:rsid w:val="007C105B"/>
    <w:rsid w:val="007D3503"/>
    <w:rsid w:val="007F0F20"/>
    <w:rsid w:val="007F35FA"/>
    <w:rsid w:val="007F6CC0"/>
    <w:rsid w:val="007F6F4C"/>
    <w:rsid w:val="00801C1C"/>
    <w:rsid w:val="00803149"/>
    <w:rsid w:val="00814328"/>
    <w:rsid w:val="0082104E"/>
    <w:rsid w:val="00821B5D"/>
    <w:rsid w:val="0082757C"/>
    <w:rsid w:val="0083561B"/>
    <w:rsid w:val="00841E6A"/>
    <w:rsid w:val="00846ED7"/>
    <w:rsid w:val="0085194F"/>
    <w:rsid w:val="008571AA"/>
    <w:rsid w:val="00872D95"/>
    <w:rsid w:val="008A3A55"/>
    <w:rsid w:val="008B1F26"/>
    <w:rsid w:val="008B23E5"/>
    <w:rsid w:val="008B4494"/>
    <w:rsid w:val="008C016D"/>
    <w:rsid w:val="008C2161"/>
    <w:rsid w:val="008C6EDA"/>
    <w:rsid w:val="008D586D"/>
    <w:rsid w:val="008E03FB"/>
    <w:rsid w:val="008E5008"/>
    <w:rsid w:val="008F6179"/>
    <w:rsid w:val="008F7BA4"/>
    <w:rsid w:val="0091050D"/>
    <w:rsid w:val="00921501"/>
    <w:rsid w:val="009226B4"/>
    <w:rsid w:val="00932C9C"/>
    <w:rsid w:val="00953D50"/>
    <w:rsid w:val="00967AEE"/>
    <w:rsid w:val="009702A6"/>
    <w:rsid w:val="00973A75"/>
    <w:rsid w:val="0097788B"/>
    <w:rsid w:val="0098087A"/>
    <w:rsid w:val="009868AB"/>
    <w:rsid w:val="00986FD4"/>
    <w:rsid w:val="00987FA0"/>
    <w:rsid w:val="00994AA2"/>
    <w:rsid w:val="009B131C"/>
    <w:rsid w:val="009D1E2F"/>
    <w:rsid w:val="009E422A"/>
    <w:rsid w:val="009E5CF2"/>
    <w:rsid w:val="009E7311"/>
    <w:rsid w:val="009F2B6C"/>
    <w:rsid w:val="00A07349"/>
    <w:rsid w:val="00A118FD"/>
    <w:rsid w:val="00A15A41"/>
    <w:rsid w:val="00A1715F"/>
    <w:rsid w:val="00A22202"/>
    <w:rsid w:val="00A22E91"/>
    <w:rsid w:val="00A4116D"/>
    <w:rsid w:val="00A42F1D"/>
    <w:rsid w:val="00A543A8"/>
    <w:rsid w:val="00A86841"/>
    <w:rsid w:val="00AA67AE"/>
    <w:rsid w:val="00AE2877"/>
    <w:rsid w:val="00B030F3"/>
    <w:rsid w:val="00B03204"/>
    <w:rsid w:val="00B35488"/>
    <w:rsid w:val="00B41C57"/>
    <w:rsid w:val="00B555D6"/>
    <w:rsid w:val="00B64E9B"/>
    <w:rsid w:val="00B66491"/>
    <w:rsid w:val="00B73558"/>
    <w:rsid w:val="00B818B5"/>
    <w:rsid w:val="00B83594"/>
    <w:rsid w:val="00B90933"/>
    <w:rsid w:val="00B92003"/>
    <w:rsid w:val="00B9472F"/>
    <w:rsid w:val="00BA4920"/>
    <w:rsid w:val="00BB32CC"/>
    <w:rsid w:val="00BC0813"/>
    <w:rsid w:val="00BC1529"/>
    <w:rsid w:val="00BC2D11"/>
    <w:rsid w:val="00BD4CA6"/>
    <w:rsid w:val="00BE48DC"/>
    <w:rsid w:val="00BE567F"/>
    <w:rsid w:val="00BE6640"/>
    <w:rsid w:val="00C001F2"/>
    <w:rsid w:val="00C06433"/>
    <w:rsid w:val="00C53BC9"/>
    <w:rsid w:val="00C63768"/>
    <w:rsid w:val="00C66049"/>
    <w:rsid w:val="00C765D6"/>
    <w:rsid w:val="00C90A83"/>
    <w:rsid w:val="00C92846"/>
    <w:rsid w:val="00C94D19"/>
    <w:rsid w:val="00CA0482"/>
    <w:rsid w:val="00CC6836"/>
    <w:rsid w:val="00CE14A7"/>
    <w:rsid w:val="00CF2521"/>
    <w:rsid w:val="00D003DD"/>
    <w:rsid w:val="00D05783"/>
    <w:rsid w:val="00D11D04"/>
    <w:rsid w:val="00D3587C"/>
    <w:rsid w:val="00D402E6"/>
    <w:rsid w:val="00D46763"/>
    <w:rsid w:val="00D473D0"/>
    <w:rsid w:val="00D55C7F"/>
    <w:rsid w:val="00D61F27"/>
    <w:rsid w:val="00D66ABD"/>
    <w:rsid w:val="00D74235"/>
    <w:rsid w:val="00D80F91"/>
    <w:rsid w:val="00D93450"/>
    <w:rsid w:val="00D97509"/>
    <w:rsid w:val="00D97F98"/>
    <w:rsid w:val="00DA49E1"/>
    <w:rsid w:val="00DB57AC"/>
    <w:rsid w:val="00DB6586"/>
    <w:rsid w:val="00DC292C"/>
    <w:rsid w:val="00DD7719"/>
    <w:rsid w:val="00DF4674"/>
    <w:rsid w:val="00DF766E"/>
    <w:rsid w:val="00E125C3"/>
    <w:rsid w:val="00E22E77"/>
    <w:rsid w:val="00E36A2F"/>
    <w:rsid w:val="00E43CD9"/>
    <w:rsid w:val="00E50F49"/>
    <w:rsid w:val="00E6216E"/>
    <w:rsid w:val="00E7401D"/>
    <w:rsid w:val="00E80066"/>
    <w:rsid w:val="00E843CC"/>
    <w:rsid w:val="00E87D0C"/>
    <w:rsid w:val="00E87DFC"/>
    <w:rsid w:val="00E92A82"/>
    <w:rsid w:val="00E93431"/>
    <w:rsid w:val="00E952B0"/>
    <w:rsid w:val="00E97E7C"/>
    <w:rsid w:val="00EB2270"/>
    <w:rsid w:val="00EC4742"/>
    <w:rsid w:val="00ED5B62"/>
    <w:rsid w:val="00ED6C8E"/>
    <w:rsid w:val="00EF2C11"/>
    <w:rsid w:val="00F03D1C"/>
    <w:rsid w:val="00F1236F"/>
    <w:rsid w:val="00F15A3C"/>
    <w:rsid w:val="00F15FC0"/>
    <w:rsid w:val="00F24388"/>
    <w:rsid w:val="00F30258"/>
    <w:rsid w:val="00F43A67"/>
    <w:rsid w:val="00F50745"/>
    <w:rsid w:val="00F57009"/>
    <w:rsid w:val="00F77C24"/>
    <w:rsid w:val="00F86BBB"/>
    <w:rsid w:val="00F86F0E"/>
    <w:rsid w:val="00F90375"/>
    <w:rsid w:val="00F904C1"/>
    <w:rsid w:val="00FB052A"/>
    <w:rsid w:val="00FC0762"/>
    <w:rsid w:val="00FD2390"/>
    <w:rsid w:val="00FD35C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A3D1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0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F1D"/>
  </w:style>
  <w:style w:type="paragraph" w:styleId="a7">
    <w:name w:val="footer"/>
    <w:basedOn w:val="a"/>
    <w:link w:val="a8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F1D"/>
  </w:style>
  <w:style w:type="character" w:styleId="a9">
    <w:name w:val="Hyperlink"/>
    <w:basedOn w:val="a0"/>
    <w:uiPriority w:val="99"/>
    <w:unhideWhenUsed/>
    <w:rsid w:val="00592B1C"/>
    <w:rPr>
      <w:strike w:val="0"/>
      <w:dstrike w:val="0"/>
      <w:color w:val="000000"/>
      <w:u w:val="none"/>
      <w:effect w:val="none"/>
    </w:rPr>
  </w:style>
  <w:style w:type="paragraph" w:customStyle="1" w:styleId="copyright-info">
    <w:name w:val="copyright-info"/>
    <w:basedOn w:val="a"/>
    <w:rsid w:val="0059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C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8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3D1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A3D1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0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F1D"/>
  </w:style>
  <w:style w:type="paragraph" w:styleId="a7">
    <w:name w:val="footer"/>
    <w:basedOn w:val="a"/>
    <w:link w:val="a8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F1D"/>
  </w:style>
  <w:style w:type="character" w:styleId="a9">
    <w:name w:val="Hyperlink"/>
    <w:basedOn w:val="a0"/>
    <w:uiPriority w:val="99"/>
    <w:unhideWhenUsed/>
    <w:rsid w:val="00592B1C"/>
    <w:rPr>
      <w:strike w:val="0"/>
      <w:dstrike w:val="0"/>
      <w:color w:val="000000"/>
      <w:u w:val="none"/>
      <w:effect w:val="none"/>
    </w:rPr>
  </w:style>
  <w:style w:type="paragraph" w:customStyle="1" w:styleId="copyright-info">
    <w:name w:val="copyright-info"/>
    <w:basedOn w:val="a"/>
    <w:rsid w:val="0059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C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8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3D1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consultantplus://offline/ref=688B66482F8CEB332461F128828A088E796EE15A5E227122881700A10F40BD20AE7A7C66585837F7F75E30ED98250C0EC929513D3A7CDDD679j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consultantplus://offline/ref=688B66482F8CEB332461F128828A088E796EE15A5E227122881700A10F40BD20AE7A7C66585837F7F65E30ED98250C0EC929513D3A7CDDD679j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B66482F8CEB332461F128828A088E796FE4525E277122881700A10F40BD20AE7A7C6658593DF7F75E30ED98250C0EC929513D3A7CDDD679j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688B66482F8CEB332461F128828A088E796FE4525E277122881700A10F40BD20AE7A7C625B5A36F8AA0420E9D1710211CA344F3C247F7Dj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3CB2-5077-4A10-8FF8-10F4DF70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Башкова</dc:creator>
  <cp:lastModifiedBy>Пользователь</cp:lastModifiedBy>
  <cp:revision>2</cp:revision>
  <cp:lastPrinted>2019-04-01T08:03:00Z</cp:lastPrinted>
  <dcterms:created xsi:type="dcterms:W3CDTF">2019-07-03T11:58:00Z</dcterms:created>
  <dcterms:modified xsi:type="dcterms:W3CDTF">2019-07-03T11:58:00Z</dcterms:modified>
</cp:coreProperties>
</file>