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bookmarkStart w:id="0" w:name="_GoBack"/>
      <w:bookmarkEnd w:id="0"/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C55BBB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B408D4" w:rsidRPr="0006161A" w:rsidRDefault="00B84026" w:rsidP="0006161A">
      <w:pPr>
        <w:rPr>
          <w:sz w:val="28"/>
          <w:szCs w:val="28"/>
        </w:rPr>
      </w:pPr>
      <w:r>
        <w:rPr>
          <w:sz w:val="28"/>
          <w:szCs w:val="28"/>
        </w:rPr>
        <w:t xml:space="preserve">26.10.2018        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</w:t>
      </w:r>
      <w:r w:rsidR="00B4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787</w:t>
      </w:r>
      <w:r w:rsidR="00152445" w:rsidRPr="00ED71CC">
        <w:rPr>
          <w:sz w:val="28"/>
          <w:szCs w:val="28"/>
        </w:rPr>
        <w:t xml:space="preserve"> </w:t>
      </w:r>
    </w:p>
    <w:p w:rsidR="00152445" w:rsidRPr="00B408D4" w:rsidRDefault="0006161A" w:rsidP="00152445">
      <w:pPr>
        <w:jc w:val="center"/>
      </w:pPr>
      <w:r>
        <w:t xml:space="preserve">г. </w:t>
      </w:r>
      <w:r w:rsidR="00152445"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/>
      </w:tblPr>
      <w:tblGrid>
        <w:gridCol w:w="29"/>
        <w:gridCol w:w="1313"/>
        <w:gridCol w:w="106"/>
        <w:gridCol w:w="1235"/>
        <w:gridCol w:w="7104"/>
      </w:tblGrid>
      <w:tr w:rsidR="00152445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Default="005F09D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2020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</w:t>
            </w:r>
            <w:r w:rsidR="00F6525B">
              <w:rPr>
                <w:sz w:val="28"/>
                <w:szCs w:val="28"/>
              </w:rPr>
              <w:t xml:space="preserve"> Федеральным законом Российской Федерации от 24</w:t>
            </w:r>
            <w:r w:rsidR="00B408D4">
              <w:rPr>
                <w:sz w:val="28"/>
                <w:szCs w:val="28"/>
              </w:rPr>
              <w:t xml:space="preserve"> июня </w:t>
            </w:r>
            <w:r w:rsidR="0006161A">
              <w:rPr>
                <w:sz w:val="28"/>
                <w:szCs w:val="28"/>
              </w:rPr>
              <w:t xml:space="preserve">                         </w:t>
            </w:r>
            <w:r w:rsidR="00F6525B">
              <w:rPr>
                <w:sz w:val="28"/>
                <w:szCs w:val="28"/>
              </w:rPr>
              <w:t>1999 года №</w:t>
            </w:r>
            <w:r w:rsidR="0006161A">
              <w:rPr>
                <w:sz w:val="28"/>
                <w:szCs w:val="28"/>
              </w:rPr>
              <w:t xml:space="preserve"> </w:t>
            </w:r>
            <w:r w:rsidR="00F6525B">
              <w:rPr>
                <w:sz w:val="28"/>
                <w:szCs w:val="28"/>
              </w:rPr>
              <w:t>120-ФЗ «Об основах системы профилактики безнадзорности и правонарушений несовершеннолетних»,</w:t>
            </w:r>
            <w:r>
              <w:rPr>
                <w:sz w:val="28"/>
                <w:szCs w:val="28"/>
              </w:rPr>
              <w:t xml:space="preserve"> Федераль</w:t>
            </w:r>
            <w:r w:rsidR="0006161A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0616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061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Федерации»,</w:t>
            </w:r>
            <w:r w:rsidR="00F6525B">
              <w:rPr>
                <w:sz w:val="28"/>
                <w:szCs w:val="28"/>
              </w:rPr>
              <w:t xml:space="preserve"> Законом Свердловской области от 28</w:t>
            </w:r>
            <w:r w:rsidR="00B408D4">
              <w:rPr>
                <w:sz w:val="28"/>
                <w:szCs w:val="28"/>
              </w:rPr>
              <w:t xml:space="preserve"> ноября </w:t>
            </w:r>
            <w:r w:rsidR="00F6525B">
              <w:rPr>
                <w:sz w:val="28"/>
                <w:szCs w:val="28"/>
              </w:rPr>
              <w:t>2001 года №</w:t>
            </w:r>
            <w:r w:rsidR="0006161A">
              <w:rPr>
                <w:sz w:val="28"/>
                <w:szCs w:val="28"/>
              </w:rPr>
              <w:t xml:space="preserve"> </w:t>
            </w:r>
            <w:r w:rsidR="00F6525B">
              <w:rPr>
                <w:sz w:val="28"/>
                <w:szCs w:val="28"/>
              </w:rPr>
              <w:t>58-ОЗ «О профилактике безнадзорности и правонарушений несовершеннолетних в</w:t>
            </w:r>
            <w:proofErr w:type="gramEnd"/>
            <w:r w:rsidR="00F6525B">
              <w:rPr>
                <w:sz w:val="28"/>
                <w:szCs w:val="28"/>
              </w:rPr>
              <w:t xml:space="preserve"> </w:t>
            </w:r>
            <w:proofErr w:type="gramStart"/>
            <w:r w:rsidR="00F6525B">
              <w:rPr>
                <w:sz w:val="28"/>
                <w:szCs w:val="28"/>
              </w:rPr>
              <w:t>Свердловской области</w:t>
            </w:r>
            <w:r w:rsidR="00E027FC">
              <w:rPr>
                <w:sz w:val="28"/>
                <w:szCs w:val="28"/>
              </w:rPr>
              <w:t>»</w:t>
            </w:r>
            <w:r w:rsidR="00F652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</w:t>
            </w:r>
            <w:r w:rsidR="0006161A">
              <w:rPr>
                <w:bCs/>
                <w:kern w:val="36"/>
                <w:sz w:val="28"/>
                <w:szCs w:val="28"/>
              </w:rPr>
              <w:t>.10.</w:t>
            </w:r>
            <w:r>
              <w:rPr>
                <w:bCs/>
                <w:kern w:val="36"/>
                <w:sz w:val="28"/>
                <w:szCs w:val="28"/>
              </w:rPr>
              <w:t>2013 № 1055</w:t>
            </w:r>
            <w:r w:rsidR="005F09DD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7F0C7B">
              <w:rPr>
                <w:sz w:val="28"/>
                <w:szCs w:val="28"/>
              </w:rPr>
              <w:t>правового воспитания населения,</w:t>
            </w:r>
            <w:r w:rsidR="00ED71CC" w:rsidRPr="00ED71CC">
              <w:rPr>
                <w:sz w:val="28"/>
                <w:szCs w:val="28"/>
              </w:rPr>
              <w:t xml:space="preserve"> обеспечения взаимодействия с правоохранительными органами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152445" w:rsidRPr="00ED71CC" w:rsidRDefault="00ED71CC" w:rsidP="005F09D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755163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2020 года»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755163">
              <w:rPr>
                <w:sz w:val="28"/>
                <w:szCs w:val="28"/>
              </w:rPr>
              <w:t>27.01.2016 №25 (с изменениями), следующие изменения:</w:t>
            </w:r>
          </w:p>
          <w:p w:rsidR="00ED71CC" w:rsidRDefault="00755163" w:rsidP="0075516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D71CC" w:rsidRPr="00ED7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наименовании муниципальной программы слова «до 2020 года» заменить словами «до 2021 года».</w:t>
            </w:r>
          </w:p>
          <w:p w:rsidR="00755163" w:rsidRDefault="00755163" w:rsidP="0075516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755163" w:rsidRDefault="00755163" w:rsidP="0075516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823"/>
              <w:gridCol w:w="5517"/>
            </w:tblGrid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517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округа Нижняя Салда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517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 – 2021 годы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Цели и задачи муниципальной программы</w:t>
                  </w:r>
                </w:p>
              </w:tc>
              <w:tc>
                <w:tcPr>
                  <w:tcW w:w="5517" w:type="dxa"/>
                </w:tcPr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Цель 1. Улучшение 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криминогенной ситуации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и снижение уровня преступности на территории городского округа Нижняя Салда.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. Организационное и нормативно-правовое обеспечение деятельности по профилактике правонарушений</w:t>
                  </w:r>
                  <w:proofErr w:type="gramStart"/>
                  <w:r w:rsidRPr="00755163">
                    <w:rPr>
                      <w:color w:val="000000" w:themeColor="text1"/>
                      <w:sz w:val="20"/>
                      <w:szCs w:val="20"/>
                    </w:rPr>
                    <w:t> .</w:t>
                  </w:r>
                  <w:proofErr w:type="gramEnd"/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2. Профилактика правонарушений в общественных местах и жилом секторе 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3. Профилактика правонарушений несовершеннолетних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4. Профилактика нарушений законодательства, регулирующего отношения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br/>
                    <w:t>в сфере предоставления гражданства, предупреждение и пресечение нелегальной миграции </w:t>
                  </w:r>
                </w:p>
                <w:p w:rsidR="00755163" w:rsidRPr="009E4883" w:rsidRDefault="00755163" w:rsidP="00755163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5. Социальная профилактика в отношении лиц без определенного места жительства и занятий, и  лиц, освободившихся из мест лишения свободы</w:t>
                  </w:r>
                  <w:r w:rsidRPr="00764D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5517" w:type="dxa"/>
                </w:tcPr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в общественных местах.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Снижение количества 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уличных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преступности.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несовершеннолетними.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преступлений в сфере предоставления гражданства, предупреждения и пресечения нелегальной миграции.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 лицами, освободившимися из мест лишения свободы.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заседаний Межведомственной комиссии по профилактике правонарушений на территории городского округа Нижняя Салда.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Создание на территории городского округа народной дружины.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Установка камер видеонаблюдения.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Процент раскрываемости преступлений.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Объем финансирования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программы по годам реализации </w:t>
                  </w:r>
                </w:p>
              </w:tc>
              <w:tc>
                <w:tcPr>
                  <w:tcW w:w="5517" w:type="dxa"/>
                </w:tcPr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ВСЕГО 1 211 106,00  руб., в том числе: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2014 год – 145 400, 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2018 год – 228 000,00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2019 год – 230 508,00 руб.</w:t>
                  </w:r>
                </w:p>
                <w:p w:rsid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2020 год – 227 088,00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Местный бюджет 1 211 106,00  руб., в том числе: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2018 год – 228 000,00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2019 год – 230 508,00 руб.</w:t>
                  </w:r>
                </w:p>
                <w:p w:rsid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2020 год – 227 088,00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Адрес размещения муниципальной программы в сети Интернет</w:t>
                  </w:r>
                </w:p>
              </w:tc>
              <w:tc>
                <w:tcPr>
                  <w:tcW w:w="5517" w:type="dxa"/>
                </w:tcPr>
                <w:p w:rsidR="0075516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lang w:val="en-US"/>
                    </w:rPr>
                    <w:t>www</w:t>
                  </w:r>
                  <w:proofErr w:type="gramEnd"/>
                  <w:r w:rsidRPr="0006161A">
                    <w:t>.</w:t>
                  </w:r>
                  <w:proofErr w:type="spellStart"/>
                  <w:r w:rsidR="00C55BBB">
                    <w:fldChar w:fldCharType="begin"/>
                  </w:r>
                  <w:r w:rsidR="00C55BBB">
                    <w:instrText>HYPERLINK "http://nsaldago.ru/"</w:instrText>
                  </w:r>
                  <w:r w:rsidR="00C55BBB">
                    <w:fldChar w:fldCharType="separate"/>
                  </w:r>
                  <w:r w:rsidRPr="00B61270">
                    <w:rPr>
                      <w:rStyle w:val="a3"/>
                    </w:rPr>
                    <w:t>nsaldago.ru</w:t>
                  </w:r>
                  <w:proofErr w:type="spellEnd"/>
                  <w:r w:rsidR="00C55BBB">
                    <w:fldChar w:fldCharType="end"/>
                  </w:r>
                </w:p>
              </w:tc>
            </w:tr>
          </w:tbl>
          <w:p w:rsidR="00755163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620328" w:rsidRPr="00620328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027A3" w:rsidRDefault="00620328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C027A3">
              <w:rPr>
                <w:sz w:val="28"/>
                <w:szCs w:val="28"/>
              </w:rPr>
              <w:t>Приложения №</w:t>
            </w:r>
            <w:r w:rsidR="0006161A">
              <w:rPr>
                <w:sz w:val="28"/>
                <w:szCs w:val="28"/>
              </w:rPr>
              <w:t xml:space="preserve"> </w:t>
            </w:r>
            <w:r w:rsidR="00C027A3">
              <w:rPr>
                <w:sz w:val="28"/>
                <w:szCs w:val="28"/>
              </w:rPr>
              <w:t>1,2 муниципальной программы изложи</w:t>
            </w:r>
            <w:r w:rsidR="0006161A">
              <w:rPr>
                <w:sz w:val="28"/>
                <w:szCs w:val="28"/>
              </w:rPr>
              <w:t>ть в новой редакции (приложение</w:t>
            </w:r>
            <w:r w:rsidR="00C027A3">
              <w:rPr>
                <w:sz w:val="28"/>
                <w:szCs w:val="28"/>
              </w:rPr>
              <w:t>).</w:t>
            </w:r>
          </w:p>
          <w:p w:rsidR="00ED71CC" w:rsidRPr="007F0C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B6453">
              <w:rPr>
                <w:sz w:val="28"/>
                <w:szCs w:val="28"/>
              </w:rPr>
              <w:t xml:space="preserve">Опубликовать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535080">
              <w:rPr>
                <w:sz w:val="28"/>
                <w:szCs w:val="28"/>
              </w:rPr>
              <w:t xml:space="preserve"> </w:t>
            </w:r>
            <w:r w:rsidR="00EB6453"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плюс</w:t>
            </w:r>
            <w:r w:rsidR="00EB6453"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152445"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="00152445"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6161A">
              <w:rPr>
                <w:sz w:val="28"/>
                <w:szCs w:val="28"/>
              </w:rPr>
              <w:t xml:space="preserve"> </w:t>
            </w:r>
            <w:r w:rsidR="00035579">
              <w:rPr>
                <w:sz w:val="28"/>
                <w:szCs w:val="28"/>
              </w:rPr>
              <w:t>Третьякову</w:t>
            </w:r>
            <w:r w:rsidR="0006161A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Pr="0006161A" w:rsidRDefault="00C027A3" w:rsidP="0006161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C027A3" w:rsidP="004816C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                                  Е.В.</w:t>
            </w:r>
            <w:r w:rsidR="00481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Матвеева</w:t>
            </w:r>
          </w:p>
        </w:tc>
      </w:tr>
      <w:tr w:rsidR="00620328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Default="006203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C027A3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C027A3" w:rsidRDefault="00C027A3" w:rsidP="00C027A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027A3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C027A3" w:rsidRDefault="00C027A3" w:rsidP="009B30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Default="00C027A3" w:rsidP="009B301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6161A" w:rsidRPr="0006161A" w:rsidRDefault="0006161A" w:rsidP="0006161A">
      <w:pPr>
        <w:sectPr w:rsidR="0006161A" w:rsidRPr="0006161A" w:rsidSect="000616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           </w:t>
      </w: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Приложение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к постановлению администрации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городского округа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Нижняя Салда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от </w:t>
      </w:r>
      <w:r w:rsidR="00B84026">
        <w:rPr>
          <w:bCs/>
        </w:rPr>
        <w:t>26.10.2018</w:t>
      </w:r>
      <w:r w:rsidRPr="00C37AFD">
        <w:rPr>
          <w:bCs/>
        </w:rPr>
        <w:t xml:space="preserve"> № </w:t>
      </w:r>
      <w:r w:rsidR="00B84026">
        <w:rPr>
          <w:bCs/>
        </w:rPr>
        <w:t>787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Приложение №</w:t>
      </w:r>
      <w:r>
        <w:rPr>
          <w:bCs/>
        </w:rPr>
        <w:t xml:space="preserve"> 1</w:t>
      </w:r>
      <w:r w:rsidRPr="00C37AFD">
        <w:rPr>
          <w:bCs/>
        </w:rPr>
        <w:t xml:space="preserve">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к муниципальной программе «Профилактика  правонарушений в городском округе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58"/>
      <w:bookmarkEnd w:id="1"/>
      <w:r w:rsidRPr="00EA61DC">
        <w:rPr>
          <w:b/>
          <w:bCs/>
        </w:rPr>
        <w:t>ЦЕЛИ, ЗАДАЧИ И ЦЕЛЕВЫЕ ПОКАЗАТЕЛИ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61DC">
        <w:rPr>
          <w:b/>
          <w:bCs/>
        </w:rPr>
        <w:t xml:space="preserve">РЕАЛИЗАЦИИ </w:t>
      </w:r>
      <w:r>
        <w:rPr>
          <w:b/>
          <w:bCs/>
        </w:rPr>
        <w:t xml:space="preserve">МУНИЦИПАЛЬНОЙ </w:t>
      </w:r>
      <w:r w:rsidRPr="00EA61DC">
        <w:rPr>
          <w:b/>
          <w:bCs/>
        </w:rPr>
        <w:t>ПРОГРАММЫ</w:t>
      </w:r>
    </w:p>
    <w:p w:rsidR="003215B1" w:rsidRPr="002F71E4" w:rsidRDefault="0006161A" w:rsidP="00321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</w:rPr>
        <w:t>«</w:t>
      </w:r>
      <w:r w:rsidR="003215B1" w:rsidRPr="002F71E4">
        <w:rPr>
          <w:bCs/>
        </w:rPr>
        <w:t>П</w:t>
      </w:r>
      <w:r w:rsidR="003215B1" w:rsidRPr="002F71E4">
        <w:rPr>
          <w:bCs/>
          <w:sz w:val="28"/>
          <w:szCs w:val="28"/>
        </w:rPr>
        <w:t>рофилактика правонарушений в городском округе Нижняя Салда до 202</w:t>
      </w:r>
      <w:r w:rsidR="002F71E4" w:rsidRPr="002F71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года»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2942"/>
        <w:gridCol w:w="9"/>
        <w:gridCol w:w="1018"/>
        <w:gridCol w:w="11"/>
        <w:gridCol w:w="8"/>
        <w:gridCol w:w="237"/>
        <w:gridCol w:w="790"/>
        <w:gridCol w:w="11"/>
        <w:gridCol w:w="7"/>
        <w:gridCol w:w="208"/>
        <w:gridCol w:w="820"/>
        <w:gridCol w:w="11"/>
        <w:gridCol w:w="7"/>
        <w:gridCol w:w="175"/>
        <w:gridCol w:w="864"/>
        <w:gridCol w:w="7"/>
        <w:gridCol w:w="142"/>
        <w:gridCol w:w="898"/>
        <w:gridCol w:w="6"/>
        <w:gridCol w:w="109"/>
        <w:gridCol w:w="936"/>
        <w:gridCol w:w="77"/>
        <w:gridCol w:w="969"/>
        <w:gridCol w:w="44"/>
        <w:gridCol w:w="1002"/>
        <w:gridCol w:w="10"/>
        <w:gridCol w:w="1037"/>
        <w:gridCol w:w="1683"/>
        <w:gridCol w:w="15"/>
        <w:gridCol w:w="12"/>
        <w:gridCol w:w="23"/>
      </w:tblGrid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уровня преступности на территории городского округа Нижняя Салда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нормативно-правовое обеспечение деятельности по профилактике правонарушений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1.1.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5008F" w:rsidRDefault="000E7215" w:rsidP="009B30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1.2. Снижение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количества преступлений, совершенных в общественных местах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2410B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городского округа Нижняя Салда</w:t>
            </w:r>
          </w:p>
        </w:tc>
      </w:tr>
      <w:tr w:rsidR="000E7215" w:rsidRPr="000E7215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0E7215" w:rsidRDefault="003215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в общественных местах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2.3.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 территории городского округа народной дружины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2.4.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камер видеонаблюдения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2.5.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раскрываемости преступлений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правонарушений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EB1DB1" w:rsidRPr="00653BDB" w:rsidTr="00EB1DB1">
        <w:trPr>
          <w:trHeight w:val="2196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834840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3215B1" w:rsidRPr="00EA61DC" w:rsidRDefault="003215B1" w:rsidP="003215B1">
      <w:pPr>
        <w:widowControl w:val="0"/>
        <w:autoSpaceDE w:val="0"/>
        <w:autoSpaceDN w:val="0"/>
        <w:adjustRightInd w:val="0"/>
        <w:jc w:val="both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</w:pPr>
    </w:p>
    <w:p w:rsidR="002F71E4" w:rsidRDefault="002F71E4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bookmarkStart w:id="2" w:name="Par336"/>
      <w:bookmarkEnd w:id="2"/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Pr="00C37AFD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>Приложение №</w:t>
      </w:r>
      <w:r>
        <w:rPr>
          <w:bCs/>
        </w:rPr>
        <w:t xml:space="preserve"> 2</w:t>
      </w:r>
      <w:r w:rsidRPr="00C37AFD">
        <w:rPr>
          <w:bCs/>
        </w:rPr>
        <w:t xml:space="preserve"> 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к муниципальной программе «Профилактика  правонарушений в городском округе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2F71E4" w:rsidRDefault="002F71E4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ПЛАН МЕРОПРИЯТИЙ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ПО ВЫПОЛНЕНИЮ МУНИЦИПАЛЬНОЙ ПРОГРАММЫ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C37AFD">
        <w:rPr>
          <w:bCs/>
          <w:szCs w:val="28"/>
        </w:rPr>
        <w:t>«Профилактика правонарушений в городском округе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>
        <w:rPr>
          <w:bCs/>
          <w:szCs w:val="28"/>
        </w:rPr>
        <w:t>Нижняя Салда до 202</w:t>
      </w:r>
      <w:r w:rsidR="002F71E4">
        <w:rPr>
          <w:bCs/>
          <w:szCs w:val="28"/>
        </w:rPr>
        <w:t>1</w:t>
      </w:r>
      <w:r>
        <w:rPr>
          <w:bCs/>
          <w:szCs w:val="28"/>
        </w:rPr>
        <w:t xml:space="preserve">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74"/>
        <w:gridCol w:w="3260"/>
        <w:gridCol w:w="1206"/>
        <w:gridCol w:w="1036"/>
        <w:gridCol w:w="1036"/>
        <w:gridCol w:w="1037"/>
        <w:gridCol w:w="1036"/>
        <w:gridCol w:w="1036"/>
        <w:gridCol w:w="1037"/>
        <w:gridCol w:w="1036"/>
        <w:gridCol w:w="1037"/>
        <w:gridCol w:w="1418"/>
      </w:tblGrid>
      <w:tr w:rsidR="002F71E4" w:rsidRPr="002F71E4" w:rsidTr="002F71E4">
        <w:tc>
          <w:tcPr>
            <w:tcW w:w="574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№   </w:t>
            </w:r>
            <w:r w:rsidRPr="002F71E4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3260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Наименование мероприятия/</w:t>
            </w:r>
            <w:r w:rsidRPr="002F71E4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F71E4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497" w:type="dxa"/>
            <w:gridSpan w:val="9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418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Номер строки </w:t>
            </w:r>
            <w:r w:rsidRPr="002F71E4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2F71E4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2F71E4">
              <w:rPr>
                <w:color w:val="000000" w:themeColor="text1"/>
                <w:sz w:val="20"/>
              </w:rPr>
              <w:br/>
              <w:t>на достижение</w:t>
            </w:r>
            <w:r w:rsidRPr="002F71E4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2F71E4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2F71E4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2F71E4" w:rsidRPr="002F71E4" w:rsidTr="002F71E4">
        <w:tc>
          <w:tcPr>
            <w:tcW w:w="574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2019год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37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418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05CC2" w:rsidRPr="002F71E4" w:rsidRDefault="00405CC2" w:rsidP="00405CC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3248"/>
        <w:gridCol w:w="1201"/>
        <w:gridCol w:w="1038"/>
        <w:gridCol w:w="1038"/>
        <w:gridCol w:w="1038"/>
        <w:gridCol w:w="1039"/>
        <w:gridCol w:w="1038"/>
        <w:gridCol w:w="1038"/>
        <w:gridCol w:w="1038"/>
        <w:gridCol w:w="1042"/>
        <w:gridCol w:w="1423"/>
      </w:tblGrid>
      <w:tr w:rsidR="002F71E4" w:rsidRPr="002F71E4" w:rsidTr="00746256">
        <w:trPr>
          <w:tblHeader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42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423" w:type="dxa"/>
          </w:tcPr>
          <w:p w:rsidR="002F71E4" w:rsidRPr="002F71E4" w:rsidRDefault="0011225A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2F71E4" w:rsidRPr="002F71E4" w:rsidTr="00746256"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2F71E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rPr>
          <w:trHeight w:val="411"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E67FD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E67FD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E67FD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rPr>
          <w:trHeight w:val="407"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Мероприятия 1.</w:t>
            </w:r>
            <w:r w:rsidRPr="002F71E4">
              <w:rPr>
                <w:color w:val="000000" w:themeColor="text1"/>
                <w:sz w:val="20"/>
              </w:rPr>
              <w:t xml:space="preserve"> Проведение ежегодного анализа и разработка предложений по повышению эффективности деятельности субъектов профилактики </w:t>
            </w:r>
          </w:p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2F71E4" w:rsidRDefault="002F71E4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285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2.</w:t>
            </w:r>
          </w:p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3.</w:t>
            </w:r>
          </w:p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3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4.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5.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6.</w:t>
            </w:r>
          </w:p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81 189,00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27 000,00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27 297,00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26 892,00</w:t>
            </w:r>
          </w:p>
        </w:tc>
        <w:tc>
          <w:tcPr>
            <w:tcW w:w="1042" w:type="dxa"/>
          </w:tcPr>
          <w:p w:rsidR="00746256" w:rsidRPr="0011225A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11225A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81 189,00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27 000,00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27 297,00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26 892,00</w:t>
            </w:r>
          </w:p>
        </w:tc>
        <w:tc>
          <w:tcPr>
            <w:tcW w:w="1042" w:type="dxa"/>
          </w:tcPr>
          <w:p w:rsidR="00746256" w:rsidRPr="0011225A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11225A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Мероприятие 7.</w:t>
            </w:r>
          </w:p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1 106 410,00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107 700,0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143 910,0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108 000,0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200 000,0</w:t>
            </w:r>
          </w:p>
        </w:tc>
        <w:tc>
          <w:tcPr>
            <w:tcW w:w="1038" w:type="dxa"/>
          </w:tcPr>
          <w:p w:rsidR="00746256" w:rsidRPr="0011225A" w:rsidRDefault="00746256" w:rsidP="0011225A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202 200,0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199 200,0</w:t>
            </w:r>
          </w:p>
        </w:tc>
        <w:tc>
          <w:tcPr>
            <w:tcW w:w="1042" w:type="dxa"/>
          </w:tcPr>
          <w:p w:rsidR="00746256" w:rsidRPr="0011225A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11225A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lastRenderedPageBreak/>
              <w:t>13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1 106 410,00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145 400,00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107 700,00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143 910,0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108 000,0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200 000,0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202 200,0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199 20</w:t>
            </w:r>
            <w:r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8.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обслуживания системы видеонаблюдения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Мероприятие 9.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Проверка освещения улиц в целях создания условий безопасного нахождения граждан на территории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10.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11.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12.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13.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Публикации в средствах массовой информации статей по проблемам подростковой преступности.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14.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оказания социально-</w:t>
            </w:r>
            <w:r w:rsidRPr="00B64665">
              <w:rPr>
                <w:color w:val="000000" w:themeColor="text1"/>
                <w:sz w:val="20"/>
              </w:rPr>
              <w:lastRenderedPageBreak/>
              <w:t>психологической, медицинской помощи несовершеннолетним, пострадавшим от актов насилия и вовлеченным в коммерческую сексуальную эксплуатацию, а также 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15.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клубов юных друзей правопорядка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16.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Проведение профилактической операции "Подросток"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17.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Мероприятие 18. 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19.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Проведение смотра-конкурса на лучшую организацию профилактической работы по предупреждению правонарушений несовершеннолетних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Местный бюджет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20.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Организация досуга несовершеннолетних школьного возраста путем выделения бесплатных путевок во время </w:t>
            </w:r>
            <w:r w:rsidRPr="00E97A0F">
              <w:rPr>
                <w:color w:val="000000" w:themeColor="text1"/>
                <w:sz w:val="20"/>
              </w:rPr>
              <w:lastRenderedPageBreak/>
              <w:t>летних каникул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lastRenderedPageBreak/>
              <w:t>29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21.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Ежеквартальная подготовка статистических данных по подросткам, совершившим 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22.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Обеспечение предоставления информации в УФСКН и ММО МВД для осуществления комплексных проверок молодежных</w:t>
            </w:r>
            <w:proofErr w:type="gramStart"/>
            <w:r w:rsidRPr="0090424F">
              <w:rPr>
                <w:color w:val="000000" w:themeColor="text1"/>
                <w:sz w:val="20"/>
              </w:rPr>
              <w:t xml:space="preserve"> ,</w:t>
            </w:r>
            <w:proofErr w:type="gramEnd"/>
            <w:r w:rsidRPr="0090424F">
              <w:rPr>
                <w:color w:val="000000" w:themeColor="text1"/>
                <w:sz w:val="20"/>
              </w:rPr>
              <w:t xml:space="preserve">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23.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24.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25.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 xml:space="preserve">Проведение мониторинга выданных УФМС разрешений на работу и полученных уведомлений о приеме на работу иностранных </w:t>
            </w:r>
            <w:r w:rsidRPr="0090424F">
              <w:rPr>
                <w:color w:val="000000" w:themeColor="text1"/>
                <w:sz w:val="20"/>
              </w:rPr>
              <w:lastRenderedPageBreak/>
              <w:t>граждан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lastRenderedPageBreak/>
              <w:t>34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26.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27.</w:t>
            </w:r>
          </w:p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6 507,00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1 011,00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996,00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746256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6 507,00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1 011,00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996,00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28.</w:t>
            </w:r>
          </w:p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Организации проведения специализированных ярмарок вакансий для лиц без определенного места жительства, 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29.</w:t>
            </w:r>
          </w:p>
          <w:p w:rsidR="00746256" w:rsidRPr="00746256" w:rsidRDefault="00746256" w:rsidP="009B3017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 w:rsidRPr="00746256">
              <w:rPr>
                <w:color w:val="000000" w:themeColor="text1"/>
                <w:sz w:val="20"/>
              </w:rPr>
              <w:t xml:space="preserve">Оказание помощи лицам, вернувшимся из ИУ, ВК, специальных учреждений закрытого типа в решении </w:t>
            </w:r>
            <w:proofErr w:type="spellStart"/>
            <w:proofErr w:type="gramStart"/>
            <w:r w:rsidRPr="00746256">
              <w:rPr>
                <w:color w:val="000000" w:themeColor="text1"/>
                <w:sz w:val="20"/>
              </w:rPr>
              <w:t>жилищно</w:t>
            </w:r>
            <w:proofErr w:type="spellEnd"/>
            <w:r w:rsidRPr="00746256">
              <w:rPr>
                <w:color w:val="000000" w:themeColor="text1"/>
                <w:sz w:val="20"/>
              </w:rPr>
              <w:t xml:space="preserve"> – бытовых</w:t>
            </w:r>
            <w:proofErr w:type="gramEnd"/>
            <w:r w:rsidRPr="00746256">
              <w:rPr>
                <w:color w:val="000000" w:themeColor="text1"/>
                <w:sz w:val="20"/>
              </w:rPr>
              <w:t xml:space="preserve"> проблем.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30.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Разработка нормативно – правовых актов по вопросу обеспечения общественного порядка и безопасности граждан при проведении массовых мероприятий.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31.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 xml:space="preserve">Оказание помощи в профессиональной подготовке (переподготовке) лицам, </w:t>
            </w:r>
            <w:r w:rsidRPr="00746256">
              <w:rPr>
                <w:color w:val="000000" w:themeColor="text1"/>
                <w:sz w:val="20"/>
              </w:rPr>
              <w:lastRenderedPageBreak/>
              <w:t>прибывшим из мест лишения свободы.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32.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Расширение перечня предприятий для отбывания осужденными уголовного наказания в виде обязательных и исправительных работ.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405CC2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548DD4" w:themeColor="text2" w:themeTint="99"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</w:tbl>
    <w:p w:rsidR="003215B1" w:rsidRPr="00081F19" w:rsidRDefault="003215B1" w:rsidP="00471B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3215B1" w:rsidRPr="00081F19" w:rsidSect="0006161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2F3F"/>
    <w:rsid w:val="00035579"/>
    <w:rsid w:val="0006161A"/>
    <w:rsid w:val="00070C26"/>
    <w:rsid w:val="00081F19"/>
    <w:rsid w:val="000C3A87"/>
    <w:rsid w:val="000E7215"/>
    <w:rsid w:val="0011225A"/>
    <w:rsid w:val="00152445"/>
    <w:rsid w:val="001722FB"/>
    <w:rsid w:val="001F1357"/>
    <w:rsid w:val="002508D2"/>
    <w:rsid w:val="00251BEA"/>
    <w:rsid w:val="002561F4"/>
    <w:rsid w:val="002F71E4"/>
    <w:rsid w:val="003215B1"/>
    <w:rsid w:val="00335788"/>
    <w:rsid w:val="00340E07"/>
    <w:rsid w:val="00405CC2"/>
    <w:rsid w:val="00410A97"/>
    <w:rsid w:val="00461FA8"/>
    <w:rsid w:val="00471BEE"/>
    <w:rsid w:val="00475CCE"/>
    <w:rsid w:val="004816C2"/>
    <w:rsid w:val="00495F22"/>
    <w:rsid w:val="004E5142"/>
    <w:rsid w:val="00532F3F"/>
    <w:rsid w:val="00535080"/>
    <w:rsid w:val="00554B88"/>
    <w:rsid w:val="00565319"/>
    <w:rsid w:val="005721A6"/>
    <w:rsid w:val="005E198E"/>
    <w:rsid w:val="005F09DD"/>
    <w:rsid w:val="00617082"/>
    <w:rsid w:val="00620328"/>
    <w:rsid w:val="00637B0B"/>
    <w:rsid w:val="00746256"/>
    <w:rsid w:val="00755163"/>
    <w:rsid w:val="00760721"/>
    <w:rsid w:val="007763AF"/>
    <w:rsid w:val="007B2D77"/>
    <w:rsid w:val="007F0C7B"/>
    <w:rsid w:val="00816078"/>
    <w:rsid w:val="00825EE8"/>
    <w:rsid w:val="008C4BF7"/>
    <w:rsid w:val="0090424F"/>
    <w:rsid w:val="009241DD"/>
    <w:rsid w:val="009449D3"/>
    <w:rsid w:val="009842C5"/>
    <w:rsid w:val="009B3017"/>
    <w:rsid w:val="00AA01CD"/>
    <w:rsid w:val="00B04048"/>
    <w:rsid w:val="00B408D4"/>
    <w:rsid w:val="00B64665"/>
    <w:rsid w:val="00B84026"/>
    <w:rsid w:val="00BA1BC1"/>
    <w:rsid w:val="00BF4D93"/>
    <w:rsid w:val="00C027A3"/>
    <w:rsid w:val="00C43F1D"/>
    <w:rsid w:val="00C55BBB"/>
    <w:rsid w:val="00C84E03"/>
    <w:rsid w:val="00D06948"/>
    <w:rsid w:val="00D44AA6"/>
    <w:rsid w:val="00D631C3"/>
    <w:rsid w:val="00D66649"/>
    <w:rsid w:val="00DF7D24"/>
    <w:rsid w:val="00E027FC"/>
    <w:rsid w:val="00E27E4D"/>
    <w:rsid w:val="00E36F83"/>
    <w:rsid w:val="00E73C3E"/>
    <w:rsid w:val="00E97A0F"/>
    <w:rsid w:val="00EA3AD5"/>
    <w:rsid w:val="00EB1DB1"/>
    <w:rsid w:val="00EB6453"/>
    <w:rsid w:val="00ED3624"/>
    <w:rsid w:val="00ED71CC"/>
    <w:rsid w:val="00F04E25"/>
    <w:rsid w:val="00F26825"/>
    <w:rsid w:val="00F6525B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C68F-703B-4E7A-A1BF-C2751BC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4</cp:revision>
  <cp:lastPrinted>2013-11-06T13:04:00Z</cp:lastPrinted>
  <dcterms:created xsi:type="dcterms:W3CDTF">2018-10-10T08:49:00Z</dcterms:created>
  <dcterms:modified xsi:type="dcterms:W3CDTF">2018-10-26T05:49:00Z</dcterms:modified>
</cp:coreProperties>
</file>