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9C" w:rsidRPr="00F33D4F" w:rsidRDefault="00B86F9C" w:rsidP="00F33D4F">
      <w:pPr>
        <w:pStyle w:val="ConsPlusTitlePage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33D4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33D4F">
        <w:rPr>
          <w:rFonts w:ascii="Times New Roman" w:hAnsi="Times New Roman" w:cs="Times New Roman"/>
        </w:rPr>
        <w:br/>
      </w:r>
    </w:p>
    <w:p w:rsidR="00B86F9C" w:rsidRPr="00F33D4F" w:rsidRDefault="00B86F9C" w:rsidP="00F33D4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ПРАВИТЕЛЬСТВО РОССИЙСКОЙ ФЕДЕРАЦИИ</w:t>
      </w:r>
    </w:p>
    <w:p w:rsidR="00B86F9C" w:rsidRPr="00F33D4F" w:rsidRDefault="00B86F9C" w:rsidP="00F33D4F">
      <w:pPr>
        <w:pStyle w:val="ConsPlusTitle"/>
        <w:jc w:val="center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Title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РАСПОРЯЖЕНИЕ</w:t>
      </w:r>
    </w:p>
    <w:p w:rsidR="00B86F9C" w:rsidRPr="00F33D4F" w:rsidRDefault="00B86F9C" w:rsidP="00F33D4F">
      <w:pPr>
        <w:pStyle w:val="ConsPlusTitle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от 5 сентября 2015 г. N 1738-р</w:t>
      </w:r>
    </w:p>
    <w:p w:rsidR="00B86F9C" w:rsidRPr="00F33D4F" w:rsidRDefault="00B86F9C" w:rsidP="00F33D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6F9C" w:rsidRPr="00F3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F33D4F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3D4F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1. Утвердить прилагаемый </w:t>
      </w:r>
      <w:hyperlink w:anchor="P27" w:history="1">
        <w:r w:rsidRPr="00F33D4F">
          <w:rPr>
            <w:rFonts w:ascii="Times New Roman" w:hAnsi="Times New Roman" w:cs="Times New Roman"/>
            <w:color w:val="0000FF"/>
          </w:rPr>
          <w:t>стандарт</w:t>
        </w:r>
      </w:hyperlink>
      <w:r w:rsidRPr="00F33D4F">
        <w:rPr>
          <w:rFonts w:ascii="Times New Roman" w:hAnsi="Times New Roman" w:cs="Times New Roman"/>
        </w:rPr>
        <w:t xml:space="preserve"> развития конкуренции в субъектах Российской Федерации (далее - стандарт).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2. Утратил силу. - </w:t>
      </w:r>
      <w:hyperlink r:id="rId6" w:history="1">
        <w:r w:rsidRPr="00F33D4F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F33D4F">
        <w:rPr>
          <w:rFonts w:ascii="Times New Roman" w:hAnsi="Times New Roman" w:cs="Times New Roman"/>
        </w:rPr>
        <w:t xml:space="preserve"> Правительства РФ от 17.09.2016 N 1969-р.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3. Рекомендовать: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F33D4F">
          <w:rPr>
            <w:rFonts w:ascii="Times New Roman" w:hAnsi="Times New Roman" w:cs="Times New Roman"/>
            <w:color w:val="0000FF"/>
          </w:rPr>
          <w:t>стандарта</w:t>
        </w:r>
      </w:hyperlink>
      <w:r w:rsidRPr="00F33D4F">
        <w:rPr>
          <w:rFonts w:ascii="Times New Roman" w:hAnsi="Times New Roman" w:cs="Times New Roman"/>
        </w:rPr>
        <w:t>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субъектам естественных монополий руководствоваться положениями </w:t>
      </w:r>
      <w:hyperlink w:anchor="P27" w:history="1">
        <w:r w:rsidRPr="00F33D4F">
          <w:rPr>
            <w:rFonts w:ascii="Times New Roman" w:hAnsi="Times New Roman" w:cs="Times New Roman"/>
            <w:color w:val="0000FF"/>
          </w:rPr>
          <w:t>стандарта</w:t>
        </w:r>
      </w:hyperlink>
      <w:r w:rsidRPr="00F33D4F">
        <w:rPr>
          <w:rFonts w:ascii="Times New Roman" w:hAnsi="Times New Roman" w:cs="Times New Roman"/>
        </w:rPr>
        <w:t xml:space="preserve"> в рамках раскрытия информации о своей деятельности.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Председатель Правительства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Российской Федерации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Д.МЕДВЕДЕВ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Утвержден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распоряжением Правительства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Российской Федерации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от 5 сентября 2015 г. N 1738-р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F33D4F">
        <w:rPr>
          <w:rFonts w:ascii="Times New Roman" w:hAnsi="Times New Roman" w:cs="Times New Roman"/>
        </w:rPr>
        <w:t>СТАНДАРТ</w:t>
      </w:r>
    </w:p>
    <w:p w:rsidR="00B86F9C" w:rsidRPr="00F33D4F" w:rsidRDefault="00B86F9C" w:rsidP="00F33D4F">
      <w:pPr>
        <w:pStyle w:val="ConsPlusTitle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РАЗВИТИЯ КОНКУРЕНЦИИ В СУБЪЕКТАХ РОССИЙСКОЙ ФЕДЕРАЦИИ</w:t>
      </w:r>
    </w:p>
    <w:p w:rsidR="00B86F9C" w:rsidRPr="00F33D4F" w:rsidRDefault="00B86F9C" w:rsidP="00F33D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6F9C" w:rsidRPr="00F3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F33D4F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3D4F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I. Общие положения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 w:rsidRPr="00F33D4F">
          <w:rPr>
            <w:rFonts w:ascii="Times New Roman" w:hAnsi="Times New Roman" w:cs="Times New Roman"/>
            <w:color w:val="0000FF"/>
          </w:rPr>
          <w:t>пункта 2 раздела III</w:t>
        </w:r>
      </w:hyperlink>
      <w:r w:rsidRPr="00F33D4F">
        <w:rPr>
          <w:rFonts w:ascii="Times New Roman" w:hAnsi="Times New Roman" w:cs="Times New Roman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2. Стандарт разработан в следующих целях: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</w:t>
      </w:r>
      <w:r w:rsidRPr="00F33D4F">
        <w:rPr>
          <w:rFonts w:ascii="Times New Roman" w:hAnsi="Times New Roman" w:cs="Times New Roman"/>
        </w:rPr>
        <w:lastRenderedPageBreak/>
        <w:t>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3. Принципами внедрения стандарта являются: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4. С учетом положений </w:t>
      </w:r>
      <w:hyperlink r:id="rId9" w:history="1">
        <w:r w:rsidRPr="00F33D4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3D4F">
        <w:rPr>
          <w:rFonts w:ascii="Times New Roman" w:hAnsi="Times New Roman" w:cs="Times New Roman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5. Внедрение стандарта осуществляется на основании решения высшего должностного лица.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(п. 6 в ред. </w:t>
      </w:r>
      <w:hyperlink r:id="rId10" w:history="1">
        <w:r w:rsidRPr="00F33D4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3D4F">
        <w:rPr>
          <w:rFonts w:ascii="Times New Roman" w:hAnsi="Times New Roman" w:cs="Times New Roman"/>
        </w:rPr>
        <w:t xml:space="preserve"> Правительства РФ от 17.09.2016 N 1969-р)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7. Информация и документы, касающиеся внедрения стандарта, не реже чем раз в квартал </w:t>
      </w:r>
      <w:r w:rsidRPr="00F33D4F">
        <w:rPr>
          <w:rFonts w:ascii="Times New Roman" w:hAnsi="Times New Roman" w:cs="Times New Roman"/>
        </w:rPr>
        <w:lastRenderedPageBreak/>
        <w:t xml:space="preserve">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 w:rsidRPr="00F33D4F">
        <w:rPr>
          <w:rFonts w:ascii="Times New Roman" w:hAnsi="Times New Roman" w:cs="Times New Roman"/>
        </w:rPr>
        <w:t>интернет-портале</w:t>
      </w:r>
      <w:proofErr w:type="spellEnd"/>
      <w:r w:rsidRPr="00F33D4F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II. Определение уполномоченного органа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9. Уполномоченный орган осуществляет следующие полномочия: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з</w:t>
      </w:r>
      <w:proofErr w:type="spellEnd"/>
      <w:r w:rsidRPr="00F33D4F">
        <w:rPr>
          <w:rFonts w:ascii="Times New Roman" w:hAnsi="Times New Roman" w:cs="Times New Roman"/>
        </w:rP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III. Рассмотрение вопросов содействия развитию конкуренции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на заседаниях коллегиального органа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проект перечня с аргументированным обоснованием выбора каждого рынка;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результаты и анализ результатов мониторинга.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F33D4F">
        <w:rPr>
          <w:rFonts w:ascii="Times New Roman" w:hAnsi="Times New Roman" w:cs="Times New Roman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представители региональной комиссии по проведению административной реформы;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lastRenderedPageBreak/>
        <w:t>д</w:t>
      </w:r>
      <w:proofErr w:type="spellEnd"/>
      <w:r w:rsidRPr="00F33D4F">
        <w:rPr>
          <w:rFonts w:ascii="Times New Roman" w:hAnsi="Times New Roman" w:cs="Times New Roman"/>
        </w:rPr>
        <w:t>) представители научных, исследовательских, проектных, аналитических организаций и технологических платформ;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з</w:t>
      </w:r>
      <w:proofErr w:type="spellEnd"/>
      <w:r w:rsidRPr="00F33D4F">
        <w:rPr>
          <w:rFonts w:ascii="Times New Roman" w:hAnsi="Times New Roman" w:cs="Times New Roman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F33D4F">
        <w:rPr>
          <w:rFonts w:ascii="Times New Roman" w:hAnsi="Times New Roman" w:cs="Times New Roman"/>
        </w:rPr>
        <w:t>аквакультура</w:t>
      </w:r>
      <w:proofErr w:type="spellEnd"/>
      <w:r w:rsidRPr="00F33D4F">
        <w:rPr>
          <w:rFonts w:ascii="Times New Roman" w:hAnsi="Times New Roman" w:cs="Times New Roman"/>
        </w:rPr>
        <w:t xml:space="preserve">, </w:t>
      </w:r>
      <w:proofErr w:type="spellStart"/>
      <w:r w:rsidRPr="00F33D4F">
        <w:rPr>
          <w:rFonts w:ascii="Times New Roman" w:hAnsi="Times New Roman" w:cs="Times New Roman"/>
        </w:rPr>
        <w:t>марикультура</w:t>
      </w:r>
      <w:proofErr w:type="spellEnd"/>
      <w:r w:rsidRPr="00F33D4F">
        <w:rPr>
          <w:rFonts w:ascii="Times New Roman" w:hAnsi="Times New Roman" w:cs="Times New Roman"/>
        </w:rPr>
        <w:t xml:space="preserve">, товарное рыбоводство, промышленное рыболовство, </w:t>
      </w:r>
      <w:proofErr w:type="spellStart"/>
      <w:r w:rsidRPr="00F33D4F">
        <w:rPr>
          <w:rFonts w:ascii="Times New Roman" w:hAnsi="Times New Roman" w:cs="Times New Roman"/>
        </w:rPr>
        <w:t>рыбопереработка</w:t>
      </w:r>
      <w:proofErr w:type="spellEnd"/>
      <w:r w:rsidRPr="00F33D4F">
        <w:rPr>
          <w:rFonts w:ascii="Times New Roman" w:hAnsi="Times New Roman" w:cs="Times New Roman"/>
        </w:rPr>
        <w:t xml:space="preserve"> и др.);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к) представители организаций, действующих в интересах независимых директоров;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F33D4F">
        <w:rPr>
          <w:rFonts w:ascii="Times New Roman" w:hAnsi="Times New Roman" w:cs="Times New Roman"/>
        </w:rPr>
        <w:t>инноваторы</w:t>
      </w:r>
      <w:proofErr w:type="spellEnd"/>
      <w:r w:rsidRPr="00F33D4F">
        <w:rPr>
          <w:rFonts w:ascii="Times New Roman" w:hAnsi="Times New Roman" w:cs="Times New Roman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F33D4F">
        <w:rPr>
          <w:rFonts w:ascii="Times New Roman" w:hAnsi="Times New Roman" w:cs="Times New Roman"/>
        </w:rPr>
        <w:t>нанотехнологий</w:t>
      </w:r>
      <w:proofErr w:type="spellEnd"/>
      <w:r w:rsidRPr="00F33D4F">
        <w:rPr>
          <w:rFonts w:ascii="Times New Roman" w:hAnsi="Times New Roman" w:cs="Times New Roman"/>
        </w:rPr>
        <w:t xml:space="preserve">, альтернативной энергетики и </w:t>
      </w:r>
      <w:proofErr w:type="spellStart"/>
      <w:r w:rsidRPr="00F33D4F">
        <w:rPr>
          <w:rFonts w:ascii="Times New Roman" w:hAnsi="Times New Roman" w:cs="Times New Roman"/>
        </w:rPr>
        <w:t>энергоэффективности</w:t>
      </w:r>
      <w:proofErr w:type="spellEnd"/>
      <w:r w:rsidRPr="00F33D4F">
        <w:rPr>
          <w:rFonts w:ascii="Times New Roman" w:hAnsi="Times New Roman" w:cs="Times New Roman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13. В случае необходимости в состав коллегиального органа помимо лиц, указанных в </w:t>
      </w:r>
      <w:hyperlink w:anchor="P76" w:history="1">
        <w:r w:rsidRPr="00F33D4F">
          <w:rPr>
            <w:rFonts w:ascii="Times New Roman" w:hAnsi="Times New Roman" w:cs="Times New Roman"/>
            <w:color w:val="0000FF"/>
          </w:rPr>
          <w:t>пункте 12</w:t>
        </w:r>
      </w:hyperlink>
      <w:r w:rsidRPr="00F33D4F">
        <w:rPr>
          <w:rFonts w:ascii="Times New Roman" w:hAnsi="Times New Roman" w:cs="Times New Roman"/>
        </w:rPr>
        <w:t xml:space="preserve"> стандарта, могут включаться иные участники (с учетом региональной специфики).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уполномоченный по защите прав предпринимателей в субъекте Российской Федерации;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уполномоченный по правам человека в субъекте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IV. Утверждение перечня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19. 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F33D4F">
        <w:rPr>
          <w:rFonts w:ascii="Times New Roman" w:hAnsi="Times New Roman" w:cs="Times New Roman"/>
        </w:rPr>
        <w:t>несырьевого</w:t>
      </w:r>
      <w:proofErr w:type="spellEnd"/>
      <w:r w:rsidRPr="00F33D4F">
        <w:rPr>
          <w:rFonts w:ascii="Times New Roman" w:hAnsi="Times New Roman" w:cs="Times New Roman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lastRenderedPageBreak/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F33D4F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3D4F">
        <w:rPr>
          <w:rFonts w:ascii="Times New Roman" w:hAnsi="Times New Roman" w:cs="Times New Roman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23. Помимо рынков, предусмотренных </w:t>
      </w:r>
      <w:hyperlink w:anchor="P251" w:history="1">
        <w:r w:rsidRPr="00F33D4F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3D4F">
        <w:rPr>
          <w:rFonts w:ascii="Times New Roman" w:hAnsi="Times New Roman" w:cs="Times New Roman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24. Формирование перечня осуществляется в том числе на основе следующих данных: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V. Разработка "дорожной карты"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27. Утверждение "дорожной карты" осуществляется на уровне высшего должностного лица.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 w:rsidRPr="00F33D4F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3D4F">
        <w:rPr>
          <w:rFonts w:ascii="Times New Roman" w:hAnsi="Times New Roman" w:cs="Times New Roman"/>
        </w:rPr>
        <w:t xml:space="preserve"> к стандарту, могут разрабатываться до выполнения проведения мониторинга.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lastRenderedPageBreak/>
        <w:t>30. При разработке и реализации "дорожной карты", а также при внесении в нее изменений осуществляются: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определение процессов, необходимых для реализации требований по развитию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определение последовательности и взаимодействия этих процессов, а также их приоритетность;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обеспечение ресурсов и информации, необходимых для поддержания этих процессов и их мониторинга;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ж) мероприятия, необходимые для достижения запланированных результатов.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(в ред. </w:t>
      </w:r>
      <w:hyperlink r:id="rId11" w:history="1">
        <w:r w:rsidRPr="00F33D4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3D4F">
        <w:rPr>
          <w:rFonts w:ascii="Times New Roman" w:hAnsi="Times New Roman" w:cs="Times New Roman"/>
        </w:rPr>
        <w:t xml:space="preserve"> Правительства РФ от 17.09.2016 N 1969-р)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(в ред. </w:t>
      </w:r>
      <w:hyperlink r:id="rId12" w:history="1">
        <w:r w:rsidRPr="00F33D4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3D4F">
        <w:rPr>
          <w:rFonts w:ascii="Times New Roman" w:hAnsi="Times New Roman" w:cs="Times New Roman"/>
        </w:rPr>
        <w:t xml:space="preserve"> Правительства РФ от 17.09.2016 N 1969-р)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32. Системные мероприятия, предусмотренные "дорожной картой" с учетом </w:t>
      </w:r>
      <w:hyperlink w:anchor="P251" w:history="1">
        <w:r w:rsidRPr="00F33D4F">
          <w:rPr>
            <w:rFonts w:ascii="Times New Roman" w:hAnsi="Times New Roman" w:cs="Times New Roman"/>
            <w:color w:val="0000FF"/>
          </w:rPr>
          <w:t>приложения</w:t>
        </w:r>
      </w:hyperlink>
      <w:r w:rsidRPr="00F33D4F">
        <w:rPr>
          <w:rFonts w:ascii="Times New Roman" w:hAnsi="Times New Roman" w:cs="Times New Roman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 w:rsidRPr="00F33D4F">
          <w:rPr>
            <w:rFonts w:ascii="Times New Roman" w:hAnsi="Times New Roman" w:cs="Times New Roman"/>
            <w:color w:val="0000FF"/>
          </w:rPr>
          <w:t>статьям 15</w:t>
        </w:r>
      </w:hyperlink>
      <w:r w:rsidRPr="00F33D4F">
        <w:rPr>
          <w:rFonts w:ascii="Times New Roman" w:hAnsi="Times New Roman" w:cs="Times New Roman"/>
        </w:rPr>
        <w:t xml:space="preserve"> и </w:t>
      </w:r>
      <w:hyperlink r:id="rId14" w:history="1">
        <w:r w:rsidRPr="00F33D4F">
          <w:rPr>
            <w:rFonts w:ascii="Times New Roman" w:hAnsi="Times New Roman" w:cs="Times New Roman"/>
            <w:color w:val="0000FF"/>
          </w:rPr>
          <w:t>16</w:t>
        </w:r>
      </w:hyperlink>
      <w:r w:rsidRPr="00F33D4F">
        <w:rPr>
          <w:rFonts w:ascii="Times New Roman" w:hAnsi="Times New Roman" w:cs="Times New Roman"/>
        </w:rPr>
        <w:t xml:space="preserve"> Федерального закона "О защите конкуренции";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 w:rsidRPr="00F33D4F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F33D4F">
        <w:rPr>
          <w:rFonts w:ascii="Times New Roman" w:hAnsi="Times New Roman" w:cs="Times New Roman"/>
        </w:rPr>
        <w:t xml:space="preserve"> организации законодательных </w:t>
      </w:r>
      <w:r w:rsidRPr="00F33D4F">
        <w:rPr>
          <w:rFonts w:ascii="Times New Roman" w:hAnsi="Times New Roman" w:cs="Times New Roman"/>
        </w:rPr>
        <w:lastRenderedPageBreak/>
        <w:t>(представительных) и исполнительных органов государственной власти субъектов Российской Федерации" и "</w:t>
      </w:r>
      <w:hyperlink r:id="rId16" w:history="1">
        <w:r w:rsidRPr="00F33D4F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F33D4F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F33D4F">
        <w:rPr>
          <w:rFonts w:ascii="Times New Roman" w:hAnsi="Times New Roman" w:cs="Times New Roman"/>
        </w:rPr>
        <w:t>www.torgi.gov.ru</w:t>
      </w:r>
      <w:proofErr w:type="spellEnd"/>
      <w:r w:rsidRPr="00F33D4F">
        <w:rPr>
          <w:rFonts w:ascii="Times New Roman" w:hAnsi="Times New Roman" w:cs="Times New Roman"/>
        </w:rPr>
        <w:t>) и на официальном сайте уполномоченного органа в сети "Интернет";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ж) на мобильность трудовых ресурсов, способствующую повышению эффективности труда;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з</w:t>
      </w:r>
      <w:proofErr w:type="spellEnd"/>
      <w:r w:rsidRPr="00F33D4F">
        <w:rPr>
          <w:rFonts w:ascii="Times New Roman" w:hAnsi="Times New Roman" w:cs="Times New Roman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F33D4F">
        <w:rPr>
          <w:rFonts w:ascii="Times New Roman" w:hAnsi="Times New Roman" w:cs="Times New Roman"/>
        </w:rPr>
        <w:t>WorldSkills</w:t>
      </w:r>
      <w:proofErr w:type="spellEnd"/>
      <w:r w:rsidRPr="00F33D4F">
        <w:rPr>
          <w:rFonts w:ascii="Times New Roman" w:hAnsi="Times New Roman" w:cs="Times New Roman"/>
        </w:rPr>
        <w:t xml:space="preserve"> </w:t>
      </w:r>
      <w:proofErr w:type="spellStart"/>
      <w:r w:rsidRPr="00F33D4F">
        <w:rPr>
          <w:rFonts w:ascii="Times New Roman" w:hAnsi="Times New Roman" w:cs="Times New Roman"/>
        </w:rPr>
        <w:t>International</w:t>
      </w:r>
      <w:proofErr w:type="spellEnd"/>
      <w:r w:rsidRPr="00F33D4F">
        <w:rPr>
          <w:rFonts w:ascii="Times New Roman" w:hAnsi="Times New Roman" w:cs="Times New Roman"/>
        </w:rPr>
        <w:t>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33. В "дорожной карте" предусматриваются исходная фактическая информация (в том числе </w:t>
      </w:r>
      <w:r w:rsidRPr="00F33D4F">
        <w:rPr>
          <w:rFonts w:ascii="Times New Roman" w:hAnsi="Times New Roman" w:cs="Times New Roman"/>
        </w:rPr>
        <w:lastRenderedPageBreak/>
        <w:t>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</w:t>
      </w:r>
      <w:proofErr w:type="spellStart"/>
      <w:r w:rsidRPr="00F33D4F">
        <w:rPr>
          <w:rFonts w:ascii="Times New Roman" w:hAnsi="Times New Roman" w:cs="Times New Roman"/>
        </w:rPr>
        <w:t>соисполнению</w:t>
      </w:r>
      <w:proofErr w:type="spellEnd"/>
      <w:r w:rsidRPr="00F33D4F">
        <w:rPr>
          <w:rFonts w:ascii="Times New Roman" w:hAnsi="Times New Roman" w:cs="Times New Roman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(в ред. </w:t>
      </w:r>
      <w:hyperlink r:id="rId17" w:history="1">
        <w:r w:rsidRPr="00F33D4F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F33D4F">
        <w:rPr>
          <w:rFonts w:ascii="Times New Roman" w:hAnsi="Times New Roman" w:cs="Times New Roman"/>
        </w:rPr>
        <w:t xml:space="preserve"> Правительства РФ от 17.09.2016 N 1969-р)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VI. Проведение мониторинга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41. Уполномоченный орган ежегодно организует проведение мониторинга.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8"/>
      <w:bookmarkEnd w:id="2"/>
      <w:r w:rsidRPr="00F33D4F">
        <w:rPr>
          <w:rFonts w:ascii="Times New Roman" w:hAnsi="Times New Roman" w:cs="Times New Roman"/>
        </w:rPr>
        <w:t>42. Мониторинг включает в себя: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lastRenderedPageBreak/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формирование перечня рынков, на которых присутствуют субъекты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4"/>
      <w:bookmarkEnd w:id="3"/>
      <w:r w:rsidRPr="00F33D4F">
        <w:rPr>
          <w:rFonts w:ascii="Times New Roman" w:hAnsi="Times New Roman" w:cs="Times New Roman"/>
        </w:rPr>
        <w:t>43. При проведении мониторинга уполномоченный орган использует в том числе: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r w:rsidRPr="00F33D4F">
        <w:rPr>
          <w:rFonts w:ascii="Times New Roman" w:hAnsi="Times New Roman" w:cs="Times New Roman"/>
        </w:rPr>
        <w:t>бизнес-ассоциациями</w:t>
      </w:r>
      <w:proofErr w:type="spellEnd"/>
      <w:r w:rsidRPr="00F33D4F">
        <w:rPr>
          <w:rFonts w:ascii="Times New Roman" w:hAnsi="Times New Roman" w:cs="Times New Roman"/>
        </w:rPr>
        <w:t xml:space="preserve"> и организациями, представляющими интересы потребителей;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lastRenderedPageBreak/>
        <w:t>ж) информацию о результатах общественного контроля за деятельностью субъектов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з</w:t>
      </w:r>
      <w:proofErr w:type="spellEnd"/>
      <w:r w:rsidRPr="00F33D4F">
        <w:rPr>
          <w:rFonts w:ascii="Times New Roman" w:hAnsi="Times New Roman" w:cs="Times New Roman"/>
        </w:rP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F33D4F">
          <w:rPr>
            <w:rFonts w:ascii="Times New Roman" w:hAnsi="Times New Roman" w:cs="Times New Roman"/>
            <w:color w:val="0000FF"/>
          </w:rPr>
          <w:t>пунктами 42</w:t>
        </w:r>
      </w:hyperlink>
      <w:r w:rsidRPr="00F33D4F">
        <w:rPr>
          <w:rFonts w:ascii="Times New Roman" w:hAnsi="Times New Roman" w:cs="Times New Roman"/>
        </w:rPr>
        <w:t xml:space="preserve"> и </w:t>
      </w:r>
      <w:hyperlink w:anchor="P184" w:history="1">
        <w:r w:rsidRPr="00F33D4F">
          <w:rPr>
            <w:rFonts w:ascii="Times New Roman" w:hAnsi="Times New Roman" w:cs="Times New Roman"/>
            <w:color w:val="0000FF"/>
          </w:rPr>
          <w:t>43</w:t>
        </w:r>
      </w:hyperlink>
      <w:r w:rsidRPr="00F33D4F">
        <w:rPr>
          <w:rFonts w:ascii="Times New Roman" w:hAnsi="Times New Roman" w:cs="Times New Roman"/>
        </w:rPr>
        <w:t xml:space="preserve"> стандарта, а также определять критерии: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оценки состояния конкурентной среды субъектами предпринимательской деятельности;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иные критерии.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информацию о результатах общественного контроля за деятельностью субъектов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33D4F">
        <w:rPr>
          <w:rFonts w:ascii="Times New Roman" w:hAnsi="Times New Roman" w:cs="Times New Roman"/>
        </w:rPr>
        <w:t>д</w:t>
      </w:r>
      <w:proofErr w:type="spellEnd"/>
      <w:r w:rsidRPr="00F33D4F">
        <w:rPr>
          <w:rFonts w:ascii="Times New Roman" w:hAnsi="Times New Roman" w:cs="Times New Roman"/>
        </w:rP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49. Доклад ежегодно, до 10 марта года, следующего за отчетным, направляется </w:t>
      </w:r>
      <w:r w:rsidRPr="00F33D4F">
        <w:rPr>
          <w:rFonts w:ascii="Times New Roman" w:hAnsi="Times New Roman" w:cs="Times New Roman"/>
        </w:rPr>
        <w:lastRenderedPageBreak/>
        <w:t>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51. Материалы доклада используются при внесении изменений в стандарт.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VII. Создание и реализация механизмов общественного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контроля за деятельностью субъектов естественных монополий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F33D4F">
          <w:rPr>
            <w:rFonts w:ascii="Times New Roman" w:hAnsi="Times New Roman" w:cs="Times New Roman"/>
            <w:color w:val="0000FF"/>
          </w:rPr>
          <w:t>Концепцией</w:t>
        </w:r>
      </w:hyperlink>
      <w:r w:rsidRPr="00F33D4F">
        <w:rPr>
          <w:rFonts w:ascii="Times New Roman" w:hAnsi="Times New Roman" w:cs="Times New Roman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20"/>
      <w:bookmarkEnd w:id="4"/>
      <w:r w:rsidRPr="00F33D4F">
        <w:rPr>
          <w:rFonts w:ascii="Times New Roman" w:hAnsi="Times New Roman" w:cs="Times New Roman"/>
        </w:rPr>
        <w:t xml:space="preserve">55. Субъектам естественных монополий, осуществляющим деятельность на территории </w:t>
      </w:r>
      <w:r w:rsidRPr="00F33D4F">
        <w:rPr>
          <w:rFonts w:ascii="Times New Roman" w:hAnsi="Times New Roman" w:cs="Times New Roman"/>
        </w:rPr>
        <w:lastRenderedPageBreak/>
        <w:t>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56. Раскрытие информации, указанной в </w:t>
      </w:r>
      <w:hyperlink w:anchor="P220" w:history="1">
        <w:r w:rsidRPr="00F33D4F">
          <w:rPr>
            <w:rFonts w:ascii="Times New Roman" w:hAnsi="Times New Roman" w:cs="Times New Roman"/>
            <w:color w:val="0000FF"/>
          </w:rPr>
          <w:t>пункте 55</w:t>
        </w:r>
      </w:hyperlink>
      <w:r w:rsidRPr="00F33D4F">
        <w:rPr>
          <w:rFonts w:ascii="Times New Roman" w:hAnsi="Times New Roman" w:cs="Times New Roman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 w:rsidRPr="00F33D4F">
        <w:rPr>
          <w:rFonts w:ascii="Times New Roman" w:hAnsi="Times New Roman" w:cs="Times New Roman"/>
        </w:rPr>
        <w:t>интернет-портале</w:t>
      </w:r>
      <w:proofErr w:type="spellEnd"/>
      <w:r w:rsidRPr="00F33D4F">
        <w:rPr>
          <w:rFonts w:ascii="Times New Roman" w:hAnsi="Times New Roman" w:cs="Times New Roman"/>
        </w:rP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VIII. Повышение уровня информированности субъектов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предпринимательской деятельности и потребителей товаров,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работ и услуг о состоянии конкурентной среды и деятельности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по содействию развитию конкуренции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59. На официальном сайте уполномоченного органа в сети "Интернет" и </w:t>
      </w:r>
      <w:proofErr w:type="spellStart"/>
      <w:r w:rsidRPr="00F33D4F">
        <w:rPr>
          <w:rFonts w:ascii="Times New Roman" w:hAnsi="Times New Roman" w:cs="Times New Roman"/>
        </w:rPr>
        <w:t>интернет-портале</w:t>
      </w:r>
      <w:proofErr w:type="spellEnd"/>
      <w:r w:rsidRPr="00F33D4F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 xml:space="preserve"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 w:rsidRPr="00F33D4F">
        <w:rPr>
          <w:rFonts w:ascii="Times New Roman" w:hAnsi="Times New Roman" w:cs="Times New Roman"/>
        </w:rPr>
        <w:t>интернет-портале</w:t>
      </w:r>
      <w:proofErr w:type="spellEnd"/>
      <w:r w:rsidRPr="00F33D4F">
        <w:rPr>
          <w:rFonts w:ascii="Times New Roman" w:hAnsi="Times New Roman" w:cs="Times New Roman"/>
        </w:rPr>
        <w:t>: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B86F9C" w:rsidRPr="00F33D4F" w:rsidRDefault="00B86F9C" w:rsidP="00F33D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Приложение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к стандарту развития конкуренции</w:t>
      </w:r>
    </w:p>
    <w:p w:rsidR="00B86F9C" w:rsidRPr="00F33D4F" w:rsidRDefault="00B86F9C" w:rsidP="00F33D4F">
      <w:pPr>
        <w:pStyle w:val="ConsPlusNormal"/>
        <w:jc w:val="right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в субъектах Российской Федерации</w:t>
      </w: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bookmarkStart w:id="5" w:name="P251"/>
      <w:bookmarkEnd w:id="5"/>
      <w:r w:rsidRPr="00F33D4F">
        <w:rPr>
          <w:rFonts w:ascii="Times New Roman" w:hAnsi="Times New Roman" w:cs="Times New Roman"/>
        </w:rPr>
        <w:t>ПЕРЕЧЕНЬ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МЕРОПРИЯТИЙ ПО СОДЕЙСТВИЮ РАЗВИТИЮ КОНКУРЕНЦИИ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И ПО РАЗВИТИЮ КОНКУРЕНТНОЙ СРЕДЫ СУБЪЕКТА</w:t>
      </w:r>
    </w:p>
    <w:p w:rsidR="00B86F9C" w:rsidRPr="00F33D4F" w:rsidRDefault="00B86F9C" w:rsidP="00F33D4F">
      <w:pPr>
        <w:pStyle w:val="ConsPlusNormal"/>
        <w:jc w:val="center"/>
        <w:rPr>
          <w:rFonts w:ascii="Times New Roman" w:hAnsi="Times New Roman" w:cs="Times New Roman"/>
        </w:rPr>
      </w:pPr>
      <w:r w:rsidRPr="00F33D4F">
        <w:rPr>
          <w:rFonts w:ascii="Times New Roman" w:hAnsi="Times New Roman" w:cs="Times New Roman"/>
        </w:rPr>
        <w:t>РОССИЙСКОЙ ФЕДЕРАЦИИ</w:t>
      </w:r>
    </w:p>
    <w:p w:rsidR="00B86F9C" w:rsidRPr="00F33D4F" w:rsidRDefault="00B86F9C" w:rsidP="00F33D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6F9C" w:rsidRPr="00F3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 w:history="1">
              <w:r w:rsidRPr="00F33D4F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33D4F">
              <w:rPr>
                <w:rFonts w:ascii="Times New Roman" w:hAnsi="Times New Roman" w:cs="Times New Roman"/>
                <w:color w:val="392C69"/>
              </w:rPr>
              <w:t xml:space="preserve"> Правительства РФ от 17.09.2016 N 1969-р)</w:t>
            </w:r>
          </w:p>
        </w:tc>
      </w:tr>
    </w:tbl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B86F9C" w:rsidRPr="00F33D4F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</w:t>
            </w:r>
            <w:r w:rsidRPr="00F33D4F">
              <w:rPr>
                <w:rFonts w:ascii="Times New Roman" w:hAnsi="Times New Roman" w:cs="Times New Roman"/>
              </w:rPr>
              <w:lastRenderedPageBreak/>
              <w:t>образовательных организаций (процентов)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>Рынок услуг детского отдыха и оздоровления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2015 году - 10 процентов;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2016 году - 15 процентов;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2017 году - 20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2015 году - не менее 6 процентов;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2016 году - не менее 7 процентов;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2017 году - не менее 8 процентов;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2018 году - не менее 10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2015 году - не менее 15 процентов;</w:t>
            </w:r>
          </w:p>
          <w:p w:rsidR="00B86F9C" w:rsidRPr="00F33D4F" w:rsidRDefault="00B86F9C" w:rsidP="00F33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2016 году - не менее 20 процентов;</w:t>
            </w:r>
          </w:p>
          <w:p w:rsidR="00B86F9C" w:rsidRPr="00F33D4F" w:rsidRDefault="00B86F9C" w:rsidP="00F33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2017 году - не менее 25 процентов;</w:t>
            </w:r>
          </w:p>
          <w:p w:rsidR="00B86F9C" w:rsidRPr="00F33D4F" w:rsidRDefault="00B86F9C" w:rsidP="00F33D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в 2018 году - не менее 30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 w:rsidRPr="00F33D4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33D4F">
              <w:rPr>
                <w:rFonts w:ascii="Times New Roman" w:hAnsi="Times New Roman" w:cs="Times New Roman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 w:rsidRPr="00F33D4F">
                <w:rPr>
                  <w:rFonts w:ascii="Times New Roman" w:hAnsi="Times New Roman" w:cs="Times New Roman"/>
                  <w:color w:val="0000FF"/>
                </w:rPr>
                <w:t>пунктом 9.11 части 1 статьи 14</w:t>
              </w:r>
            </w:hyperlink>
            <w:r w:rsidRPr="00F33D4F">
              <w:rPr>
                <w:rFonts w:ascii="Times New Roman" w:hAnsi="Times New Roman" w:cs="Times New Roman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F33D4F">
              <w:rPr>
                <w:rFonts w:ascii="Times New Roman" w:hAnsi="Times New Roman" w:cs="Times New Roman"/>
              </w:rPr>
              <w:t>логистической</w:t>
            </w:r>
            <w:proofErr w:type="spellEnd"/>
            <w:r w:rsidRPr="00F33D4F">
              <w:rPr>
                <w:rFonts w:ascii="Times New Roman" w:hAnsi="Times New Roman" w:cs="Times New Roman"/>
              </w:rPr>
              <w:t xml:space="preserve">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F33D4F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F33D4F">
              <w:rPr>
                <w:rFonts w:ascii="Times New Roman" w:hAnsi="Times New Roman" w:cs="Times New Roman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обеспечение возможности </w:t>
            </w:r>
            <w:r w:rsidRPr="00F33D4F">
              <w:rPr>
                <w:rFonts w:ascii="Times New Roman" w:hAnsi="Times New Roman" w:cs="Times New Roman"/>
              </w:rPr>
              <w:lastRenderedPageBreak/>
              <w:t>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 xml:space="preserve">доля оборота магазинов шаговой доступности </w:t>
            </w:r>
            <w:r w:rsidRPr="00F33D4F">
              <w:rPr>
                <w:rFonts w:ascii="Times New Roman" w:hAnsi="Times New Roman" w:cs="Times New Roman"/>
              </w:rPr>
              <w:lastRenderedPageBreak/>
              <w:t>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Рынок услуг связи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</w:t>
            </w:r>
            <w:r w:rsidRPr="00F33D4F">
              <w:rPr>
                <w:rFonts w:ascii="Times New Roman" w:hAnsi="Times New Roman" w:cs="Times New Roman"/>
              </w:rPr>
              <w:lastRenderedPageBreak/>
              <w:t>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 xml:space="preserve">доля домохозяйств, имеющих возможность пользоваться услугами проводного или </w:t>
            </w:r>
            <w:r w:rsidRPr="00F33D4F">
              <w:rPr>
                <w:rFonts w:ascii="Times New Roman" w:hAnsi="Times New Roman" w:cs="Times New Roman"/>
              </w:rPr>
              <w:lastRenderedPageBreak/>
              <w:t>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>Рынок услуг социального обслуживания населения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 w:rsidRPr="00F33D4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33D4F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</w:t>
            </w:r>
            <w:r w:rsidRPr="00F33D4F">
              <w:rPr>
                <w:rFonts w:ascii="Times New Roman" w:hAnsi="Times New Roman" w:cs="Times New Roman"/>
              </w:rPr>
              <w:lastRenderedPageBreak/>
              <w:t>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здравоохранение;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спорт;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здравоохранение;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социальное обслуживание;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B86F9C" w:rsidRPr="00F33D4F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t xml:space="preserve">Содействие развитию негосударственных (немуниципальных) социально </w:t>
            </w:r>
            <w:r w:rsidRPr="00F33D4F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86F9C" w:rsidRPr="00F33D4F" w:rsidRDefault="00B86F9C" w:rsidP="00F33D4F">
            <w:pPr>
              <w:pStyle w:val="ConsPlusNormal"/>
              <w:rPr>
                <w:rFonts w:ascii="Times New Roman" w:hAnsi="Times New Roman" w:cs="Times New Roman"/>
              </w:rPr>
            </w:pPr>
            <w:r w:rsidRPr="00F33D4F">
              <w:rPr>
                <w:rFonts w:ascii="Times New Roman" w:hAnsi="Times New Roman" w:cs="Times New Roman"/>
              </w:rPr>
              <w:lastRenderedPageBreak/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</w:t>
            </w:r>
            <w:r w:rsidRPr="00F33D4F">
              <w:rPr>
                <w:rFonts w:ascii="Times New Roman" w:hAnsi="Times New Roman" w:cs="Times New Roman"/>
              </w:rPr>
              <w:lastRenderedPageBreak/>
              <w:t>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jc w:val="both"/>
        <w:rPr>
          <w:rFonts w:ascii="Times New Roman" w:hAnsi="Times New Roman" w:cs="Times New Roman"/>
        </w:rPr>
      </w:pPr>
    </w:p>
    <w:p w:rsidR="00B86F9C" w:rsidRPr="00F33D4F" w:rsidRDefault="00B86F9C" w:rsidP="00F33D4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416DA" w:rsidRPr="00F33D4F" w:rsidRDefault="008416DA" w:rsidP="00F33D4F">
      <w:pPr>
        <w:spacing w:after="0" w:line="240" w:lineRule="auto"/>
        <w:rPr>
          <w:rFonts w:ascii="Times New Roman" w:hAnsi="Times New Roman" w:cs="Times New Roman"/>
        </w:rPr>
      </w:pPr>
      <w:bookmarkStart w:id="6" w:name="_GoBack"/>
      <w:bookmarkEnd w:id="6"/>
    </w:p>
    <w:sectPr w:rsidR="008416DA" w:rsidRPr="00F33D4F" w:rsidSect="00A5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9C"/>
    <w:rsid w:val="008416DA"/>
    <w:rsid w:val="00B86F9C"/>
    <w:rsid w:val="00C20225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5DDFA66DD9418ABB14A08CAF975644CF43779DC1A13E54E7E660F5DAE131A4D0A7F754140D384kCtBF" TargetMode="External"/><Relationship Id="rId13" Type="http://schemas.openxmlformats.org/officeDocument/2006/relationships/hyperlink" Target="consultantplus://offline/ref=F595DDFA66DD9418ABB14A08CAF975644FFE3E79DB1113E54E7E660F5DAE131A4D0A7F7744k4t2F" TargetMode="External"/><Relationship Id="rId18" Type="http://schemas.openxmlformats.org/officeDocument/2006/relationships/hyperlink" Target="consultantplus://offline/ref=F595DDFA66DD9418ABB15413DFF975644FFC3B7FDE1E13E54E7E660F5DAE131A4D0A7F754140D18DkCt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95DDFA66DD9418ABB14A08CAF975644FF43E7AD11013E54E7E660F5DAE131A4D0A7F754140D78BkCtAF" TargetMode="External"/><Relationship Id="rId7" Type="http://schemas.openxmlformats.org/officeDocument/2006/relationships/hyperlink" Target="consultantplus://offline/ref=F595DDFA66DD9418ABB14A08CAF975644FFC3B75DA1113E54E7E660F5DAE131A4D0A7F754140D18CkCtEF" TargetMode="External"/><Relationship Id="rId12" Type="http://schemas.openxmlformats.org/officeDocument/2006/relationships/hyperlink" Target="consultantplus://offline/ref=F595DDFA66DD9418ABB14A08CAF975644FFC3B75DA1113E54E7E660F5DAE131A4D0A7F754140D18DkCtFF" TargetMode="External"/><Relationship Id="rId17" Type="http://schemas.openxmlformats.org/officeDocument/2006/relationships/hyperlink" Target="consultantplus://offline/ref=F595DDFA66DD9418ABB14A08CAF975644FFC3B75DA1113E54E7E660F5DAE131A4D0A7F754140D18DkCt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5DDFA66DD9418ABB14A08CAF975644FF43B79DF1A13E54E7E660F5DkAtEF" TargetMode="External"/><Relationship Id="rId20" Type="http://schemas.openxmlformats.org/officeDocument/2006/relationships/hyperlink" Target="consultantplus://offline/ref=F595DDFA66DD9418ABB14A08CAF975644FFC3675DA1113E54E7E660F5DkA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4A08CAF975644FFC3B75DA1113E54E7E660F5DAE131A4D0A7F754140D18CkCtBF" TargetMode="External"/><Relationship Id="rId11" Type="http://schemas.openxmlformats.org/officeDocument/2006/relationships/hyperlink" Target="consultantplus://offline/ref=F595DDFA66DD9418ABB14A08CAF975644FFC3B75DA1113E54E7E660F5DAE131A4D0A7F754140D18DkCt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95DDFA66DD9418ABB14A08CAF975644FFC3B75DA1113E54E7E660F5DAE131A4D0A7F754140D18CkCtEF" TargetMode="External"/><Relationship Id="rId15" Type="http://schemas.openxmlformats.org/officeDocument/2006/relationships/hyperlink" Target="consultantplus://offline/ref=F595DDFA66DD9418ABB14A08CAF975644FF43E75D91A13E54E7E660F5DkAt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95DDFA66DD9418ABB14A08CAF975644FFC3B75DA1113E54E7E660F5DAE131A4D0A7F754140D18DkCtDF" TargetMode="External"/><Relationship Id="rId19" Type="http://schemas.openxmlformats.org/officeDocument/2006/relationships/hyperlink" Target="consultantplus://offline/ref=F595DDFA66DD9418ABB14A08CAF975644FFC3B75DA1113E54E7E660F5DAE131A4D0A7F754140D18DkCt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95DDFA66DD9418ABB14A08CAF975644CF53E7EDC1C13E54E7E660F5DkAtEF" TargetMode="External"/><Relationship Id="rId14" Type="http://schemas.openxmlformats.org/officeDocument/2006/relationships/hyperlink" Target="consultantplus://offline/ref=F595DDFA66DD9418ABB14A08CAF975644FFE3E79DB1113E54E7E660F5DAE131A4D0A7F754140D089kCtEF" TargetMode="External"/><Relationship Id="rId22" Type="http://schemas.openxmlformats.org/officeDocument/2006/relationships/hyperlink" Target="consultantplus://offline/ref=F595DDFA66DD9418ABB14A08CAF975644FFD3875D11A13E54E7E660F5DkA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9986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Ekaterina</cp:lastModifiedBy>
  <cp:revision>2</cp:revision>
  <dcterms:created xsi:type="dcterms:W3CDTF">2017-12-21T05:45:00Z</dcterms:created>
  <dcterms:modified xsi:type="dcterms:W3CDTF">2018-06-09T03:37:00Z</dcterms:modified>
</cp:coreProperties>
</file>