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9561A8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9561A8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827E4B" w:rsidRPr="009561A8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9561A8" w:rsidRDefault="00251AA1" w:rsidP="00827E4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600577" w:rsidRDefault="00600577" w:rsidP="0060057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12.01.2021</w:t>
      </w:r>
      <w:r w:rsidR="00827E4B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  <w:t xml:space="preserve">  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827E4B" w:rsidRPr="009561A8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6</w:t>
      </w:r>
    </w:p>
    <w:p w:rsidR="00827E4B" w:rsidRPr="009561A8" w:rsidRDefault="00827E4B" w:rsidP="005C702F">
      <w:pPr>
        <w:jc w:val="center"/>
        <w:rPr>
          <w:rFonts w:ascii="Liberation Serif" w:hAnsi="Liberation Serif"/>
          <w:sz w:val="28"/>
          <w:szCs w:val="28"/>
        </w:rPr>
      </w:pPr>
      <w:r w:rsidRPr="009561A8">
        <w:rPr>
          <w:rFonts w:ascii="Liberation Serif" w:hAnsi="Liberation Serif"/>
          <w:sz w:val="28"/>
          <w:szCs w:val="28"/>
        </w:rPr>
        <w:t xml:space="preserve"> </w:t>
      </w:r>
      <w:r w:rsidR="005C702F" w:rsidRPr="009561A8">
        <w:rPr>
          <w:rFonts w:ascii="Liberation Serif" w:hAnsi="Liberation Serif"/>
          <w:sz w:val="28"/>
          <w:szCs w:val="28"/>
        </w:rPr>
        <w:t xml:space="preserve">г. </w:t>
      </w:r>
      <w:r w:rsidRPr="009561A8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  <w:p w:rsidR="00827E4B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ую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п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рограмм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у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8C5184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                    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315A3F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2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года»</w:t>
            </w:r>
            <w:r w:rsidRPr="009561A8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9561A8" w:rsidRDefault="00827E4B" w:rsidP="00730456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ным законом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0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6 октября 2003 года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округа Нижняя Салда от 1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 № 69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C043B0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202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Порядком разработки, реализации</w:t>
            </w:r>
            <w:proofErr w:type="gramEnd"/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и оценки эффективности муниципальных программ городского округа Нижняя Салда, утвержденным постановлением  администрации </w:t>
            </w:r>
            <w:r w:rsidR="00C11A26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Нижняя Салда от 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  <w:proofErr w:type="gramEnd"/>
          </w:p>
          <w:p w:rsidR="00827E4B" w:rsidRPr="009561A8" w:rsidRDefault="00827E4B" w:rsidP="005C702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9561A8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="00827E4B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9561A8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="00827E4B" w:rsidRPr="009561A8">
              <w:rPr>
                <w:rFonts w:ascii="Liberation Serif" w:hAnsi="Liberation Serif"/>
                <w:sz w:val="28"/>
                <w:szCs w:val="28"/>
              </w:rPr>
              <w:t>программу  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>2</w:t>
            </w:r>
            <w:r w:rsidR="00827E4B" w:rsidRPr="009561A8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30</w:t>
            </w:r>
            <w:r w:rsidR="00827E4B" w:rsidRPr="009561A8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>с изменениями от 10.01.2017 № 19, 31.10.2017 № 787, 12.01.2018 № 10, 26.10.2018 № 785, 28.12.2018 № 976, 18.02.2019 № 93, 23.07.2019 № 495</w:t>
            </w:r>
            <w:r w:rsidR="009561A8">
              <w:rPr>
                <w:rFonts w:ascii="Liberation Serif" w:hAnsi="Liberation Serif"/>
                <w:sz w:val="28"/>
                <w:szCs w:val="28"/>
              </w:rPr>
              <w:t>, 20.01.2020 № 9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  <w:proofErr w:type="gramEnd"/>
          </w:p>
          <w:p w:rsidR="005A2D13" w:rsidRPr="009561A8" w:rsidRDefault="005C702F" w:rsidP="005A2D13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1.1. </w:t>
            </w:r>
            <w:r w:rsidR="00C043B0" w:rsidRPr="00956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5A2D13" w:rsidRPr="009561A8">
              <w:rPr>
                <w:rFonts w:ascii="Liberation Serif" w:hAnsi="Liberation Serif"/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Pr="009561A8" w:rsidRDefault="005A2D13" w:rsidP="005A2D13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9561A8">
              <w:rPr>
                <w:rFonts w:ascii="Liberation Serif" w:hAnsi="Liberation Serif"/>
              </w:rP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0"/>
              <w:gridCol w:w="4539"/>
            </w:tblGrid>
            <w:tr w:rsidR="005A2D13" w:rsidRPr="009561A8" w:rsidTr="005A2D13">
              <w:tc>
                <w:tcPr>
                  <w:tcW w:w="4670" w:type="dxa"/>
                  <w:shd w:val="clear" w:color="auto" w:fill="auto"/>
                </w:tcPr>
                <w:p w:rsidR="005A2D13" w:rsidRPr="009561A8" w:rsidRDefault="005A2D13" w:rsidP="005A2D13">
                  <w:pPr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9561A8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ВСЕГО 5</w:t>
                  </w:r>
                  <w:r w:rsidR="009E5960">
                    <w:rPr>
                      <w:rFonts w:ascii="Liberation Serif" w:hAnsi="Liberation Serif"/>
                      <w:color w:val="000000" w:themeColor="text1"/>
                    </w:rPr>
                    <w:t>03 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="009E5960"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,000  рубля, в том числе: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2014 год – 0, 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2015 год – 0, 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2016 год – 20 000,00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2017 год  - 80 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2018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2019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2020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2021 год – 8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2022 год – 8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3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 xml:space="preserve"> 20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,00 рубля.</w:t>
                  </w:r>
                </w:p>
                <w:p w:rsidR="009561A8" w:rsidRPr="00B92C65" w:rsidRDefault="009E5960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</w:rPr>
                    <w:t xml:space="preserve">Местный бюджет 503 </w:t>
                  </w:r>
                  <w:r w:rsidR="009561A8" w:rsidRPr="00B92C65">
                    <w:rPr>
                      <w:rFonts w:ascii="Liberation Serif" w:hAnsi="Liberation Serif"/>
                      <w:color w:val="000000" w:themeColor="text1"/>
                    </w:rPr>
                    <w:t>2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="009561A8"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="009561A8" w:rsidRPr="00B92C65">
                    <w:rPr>
                      <w:rFonts w:ascii="Liberation Serif" w:hAnsi="Liberation Serif"/>
                      <w:color w:val="000000" w:themeColor="text1"/>
                    </w:rPr>
                    <w:t>,00  рублей, в том числе: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2014 год – 0, 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2015 год – 0, 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2016 год – 20 000,00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2017 год  - 80 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2018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2019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2020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2021 год – 8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0,00 рублей;</w:t>
                  </w:r>
                </w:p>
                <w:p w:rsidR="005A2D13" w:rsidRPr="009561A8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2022 год – 8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3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 xml:space="preserve"> 20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,00 рубля.</w:t>
                  </w:r>
                </w:p>
              </w:tc>
            </w:tr>
          </w:tbl>
          <w:p w:rsidR="005A2D13" w:rsidRPr="009561A8" w:rsidRDefault="005A2D13" w:rsidP="005A2D13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9561A8">
              <w:rPr>
                <w:rFonts w:ascii="Liberation Serif" w:hAnsi="Liberation Serif"/>
                <w:szCs w:val="28"/>
              </w:rPr>
              <w:t xml:space="preserve">  </w:t>
            </w:r>
            <w:r w:rsidRPr="009561A8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="00E6101F" w:rsidRPr="009561A8">
              <w:rPr>
                <w:rFonts w:ascii="Liberation Serif" w:hAnsi="Liberation Serif"/>
                <w:szCs w:val="28"/>
              </w:rPr>
              <w:t>».</w:t>
            </w:r>
          </w:p>
          <w:p w:rsidR="005C702F" w:rsidRPr="009561A8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1.2</w:t>
            </w:r>
            <w:r w:rsidR="00AC640D" w:rsidRPr="009561A8">
              <w:rPr>
                <w:rFonts w:ascii="Liberation Serif" w:hAnsi="Liberation Serif"/>
                <w:sz w:val="28"/>
                <w:szCs w:val="28"/>
              </w:rPr>
              <w:t>. 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 Третьякову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76A27" w:rsidRDefault="005C702F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5C702F" w:rsidRPr="009561A8" w:rsidRDefault="00576A27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</w:t>
            </w:r>
            <w:r w:rsidR="008C5184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. Матвеев</w:t>
            </w: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C655D" w:rsidRPr="009561A8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  <w:sectPr w:rsidR="006C655D" w:rsidRPr="009561A8" w:rsidSect="009561A8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от _</w:t>
      </w:r>
      <w:r w:rsidR="00600577">
        <w:rPr>
          <w:rFonts w:ascii="Liberation Serif" w:hAnsi="Liberation Serif"/>
          <w:bCs/>
          <w:color w:val="000000" w:themeColor="text1"/>
          <w:sz w:val="28"/>
          <w:szCs w:val="28"/>
        </w:rPr>
        <w:t>12.01.2021</w:t>
      </w:r>
      <w:r w:rsidR="00E6101F"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_</w:t>
      </w: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№ </w:t>
      </w:r>
      <w:r w:rsidR="00600577">
        <w:rPr>
          <w:rFonts w:ascii="Liberation Serif" w:hAnsi="Liberation Serif"/>
          <w:bCs/>
          <w:color w:val="000000" w:themeColor="text1"/>
          <w:sz w:val="28"/>
          <w:szCs w:val="28"/>
        </w:rPr>
        <w:t>6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E6101F" w:rsidRPr="009561A8" w:rsidRDefault="00AC640D" w:rsidP="00E6101F">
      <w:pPr>
        <w:widowControl w:val="0"/>
        <w:autoSpaceDE w:val="0"/>
        <w:autoSpaceDN w:val="0"/>
        <w:adjustRightInd w:val="0"/>
        <w:ind w:left="8931"/>
        <w:outlineLvl w:val="1"/>
        <w:rPr>
          <w:rFonts w:ascii="Liberation Serif" w:hAnsi="Liberation Serif" w:cs="Calibri"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Приложение № 2</w:t>
      </w:r>
      <w:r w:rsidRPr="009561A8">
        <w:rPr>
          <w:rFonts w:ascii="Liberation Serif" w:hAnsi="Liberation Serif" w:cs="Calibri"/>
          <w:color w:val="000000" w:themeColor="text1"/>
          <w:sz w:val="28"/>
          <w:szCs w:val="28"/>
        </w:rPr>
        <w:t xml:space="preserve"> </w:t>
      </w:r>
    </w:p>
    <w:p w:rsidR="00AC640D" w:rsidRPr="009561A8" w:rsidRDefault="00AC640D" w:rsidP="00E6101F">
      <w:pPr>
        <w:widowControl w:val="0"/>
        <w:autoSpaceDE w:val="0"/>
        <w:autoSpaceDN w:val="0"/>
        <w:adjustRightInd w:val="0"/>
        <w:ind w:left="8931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2022 года»</w:t>
      </w:r>
    </w:p>
    <w:p w:rsidR="00AC640D" w:rsidRPr="009561A8" w:rsidRDefault="00AC640D" w:rsidP="00AC640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color w:val="4F81BD" w:themeColor="accent1"/>
        </w:rPr>
      </w:pPr>
    </w:p>
    <w:p w:rsidR="00AC640D" w:rsidRPr="009561A8" w:rsidRDefault="00AC640D" w:rsidP="00AC64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bookmarkStart w:id="0" w:name="Par336"/>
      <w:bookmarkEnd w:id="0"/>
      <w:r w:rsidRPr="009561A8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AC640D" w:rsidRPr="009561A8" w:rsidRDefault="00AC640D" w:rsidP="00AC64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9561A8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AC640D" w:rsidRPr="009561A8" w:rsidRDefault="00AC640D" w:rsidP="00AC64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9561A8">
        <w:rPr>
          <w:rFonts w:ascii="Liberation Serif" w:hAnsi="Liberation Serif"/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2022 года</w:t>
      </w:r>
      <w:r w:rsidRPr="009561A8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9561A8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AC640D" w:rsidRPr="009561A8" w:rsidTr="00AC640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</w:t>
            </w:r>
            <w:r w:rsidR="00E6101F" w:rsidRPr="009561A8">
              <w:rPr>
                <w:rFonts w:ascii="Liberation Serif" w:hAnsi="Liberation Serif"/>
                <w:color w:val="000000" w:themeColor="text1"/>
                <w:sz w:val="20"/>
              </w:rPr>
              <w:t>ние</w:t>
            </w:r>
            <w:r w:rsidR="00E6101F"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="00E6101F"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мероприятия</w:t>
            </w:r>
          </w:p>
        </w:tc>
      </w:tr>
      <w:tr w:rsidR="00AC640D" w:rsidRPr="009561A8" w:rsidTr="00AC64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9561A8" w:rsidRDefault="00AC640D" w:rsidP="00AC640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9561A8" w:rsidRDefault="00AC640D" w:rsidP="00AC640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2014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2015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2016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2017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2019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9561A8" w:rsidRDefault="00AC640D" w:rsidP="00AC640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AC640D" w:rsidRPr="009561A8" w:rsidRDefault="00AC640D" w:rsidP="00AC64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AC640D" w:rsidRPr="009561A8" w:rsidTr="00AC640D">
        <w:trPr>
          <w:tblHeader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AC640D" w:rsidRPr="009E5960" w:rsidRDefault="005B4572" w:rsidP="00EC7BCE">
            <w:pPr>
              <w:rPr>
                <w:rFonts w:ascii="Liberation Serif" w:hAnsi="Liberation Serif"/>
                <w:color w:val="000000" w:themeColor="text1"/>
              </w:rPr>
            </w:pP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  <w:r w:rsidR="009E5960" w:rsidRPr="009E5960">
              <w:rPr>
                <w:rFonts w:ascii="Liberation Serif" w:hAnsi="Liberation Serif"/>
                <w:color w:val="000000" w:themeColor="text1"/>
                <w:sz w:val="20"/>
              </w:rPr>
              <w:t xml:space="preserve">03 </w:t>
            </w: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  <w:r w:rsidR="009E5960" w:rsidRPr="009E5960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="00EC7BCE" w:rsidRPr="009E5960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 xml:space="preserve">,00  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9561A8" w:rsidRDefault="005B4572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9561A8" w:rsidRDefault="005B4572" w:rsidP="00EC7BC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 w:rsidR="00EC7BCE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 </w:t>
            </w:r>
            <w:r w:rsidR="00EC7BCE">
              <w:rPr>
                <w:rFonts w:ascii="Liberation Serif" w:hAnsi="Liberation Serif"/>
                <w:color w:val="000000" w:themeColor="text1"/>
                <w:sz w:val="20"/>
              </w:rPr>
              <w:t>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AC640D" w:rsidRPr="009561A8" w:rsidRDefault="005B4572" w:rsidP="00EC7BC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 w:rsidR="00EC7BCE"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EC7BCE" w:rsidRPr="009561A8" w:rsidTr="00AC640D">
        <w:trPr>
          <w:trHeight w:val="411"/>
        </w:trPr>
        <w:tc>
          <w:tcPr>
            <w:tcW w:w="960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EC7BCE" w:rsidRPr="009E5960" w:rsidRDefault="009E5960" w:rsidP="007D26CA">
            <w:pPr>
              <w:rPr>
                <w:rFonts w:ascii="Liberation Serif" w:hAnsi="Liberation Serif"/>
                <w:color w:val="000000" w:themeColor="text1"/>
              </w:rPr>
            </w:pP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 xml:space="preserve">503 </w:t>
            </w:r>
            <w:r w:rsidR="00EC7BCE" w:rsidRPr="009E5960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="00EC7BCE" w:rsidRPr="009E5960">
              <w:rPr>
                <w:rFonts w:ascii="Liberation Serif" w:hAnsi="Liberation Serif"/>
                <w:color w:val="000000" w:themeColor="text1"/>
                <w:sz w:val="20"/>
              </w:rPr>
              <w:t xml:space="preserve">0,00  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 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EC7BCE" w:rsidRPr="009561A8" w:rsidTr="00AC640D">
        <w:tc>
          <w:tcPr>
            <w:tcW w:w="960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EC7BCE" w:rsidRPr="009E5960" w:rsidRDefault="009E5960" w:rsidP="007D26CA">
            <w:pPr>
              <w:rPr>
                <w:rFonts w:ascii="Liberation Serif" w:hAnsi="Liberation Serif"/>
                <w:color w:val="000000" w:themeColor="text1"/>
              </w:rPr>
            </w:pP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503 20</w:t>
            </w:r>
            <w:r w:rsidR="00EC7BCE" w:rsidRPr="009E5960">
              <w:rPr>
                <w:rFonts w:ascii="Liberation Serif" w:hAnsi="Liberation Serif"/>
                <w:color w:val="000000" w:themeColor="text1"/>
                <w:sz w:val="20"/>
              </w:rPr>
              <w:t xml:space="preserve">0,00  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 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EC7BCE" w:rsidRPr="009561A8" w:rsidTr="00AC640D">
        <w:tc>
          <w:tcPr>
            <w:tcW w:w="960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EC7BCE" w:rsidRPr="009E5960" w:rsidRDefault="009E5960" w:rsidP="007D26CA">
            <w:pPr>
              <w:rPr>
                <w:rFonts w:ascii="Liberation Serif" w:hAnsi="Liberation Serif"/>
                <w:color w:val="000000" w:themeColor="text1"/>
              </w:rPr>
            </w:pP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503 20</w:t>
            </w:r>
            <w:r w:rsidR="00EC7BCE" w:rsidRPr="009E5960">
              <w:rPr>
                <w:rFonts w:ascii="Liberation Serif" w:hAnsi="Liberation Serif"/>
                <w:color w:val="000000" w:themeColor="text1"/>
                <w:sz w:val="20"/>
              </w:rPr>
              <w:t xml:space="preserve">0,00  </w:t>
            </w:r>
            <w:bookmarkStart w:id="1" w:name="_GoBack"/>
            <w:bookmarkEnd w:id="1"/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 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AC640D" w:rsidRPr="009561A8" w:rsidTr="00AC640D">
        <w:trPr>
          <w:trHeight w:val="407"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Pr="009561A8">
                <w:rPr>
                  <w:rFonts w:ascii="Liberation Serif" w:hAnsi="Liberation Serif"/>
                  <w:color w:val="000000" w:themeColor="text1"/>
                  <w:sz w:val="20"/>
                </w:rPr>
                <w:t>межведомственной</w:t>
              </w:r>
            </w:hyperlink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комиссии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9561A8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rPr>
          <w:trHeight w:val="1285"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Мероприятия 2.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rPr>
          <w:trHeight w:val="1193"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эпидситуации</w:t>
            </w:r>
            <w:proofErr w:type="spell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Мероприятия 4.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5.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6.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Проведение эпидемиологического расследования каждого случая ВИЧ-инфекции с целью выявления источника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инфицирования, путей передачи, контактных лиц.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11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7.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эпидситуации</w:t>
            </w:r>
            <w:proofErr w:type="spell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на основании 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8.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9.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10.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11.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)п</w:t>
            </w:r>
            <w:proofErr w:type="gram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12.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Включение вопросов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13. 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210 000</w:t>
            </w:r>
            <w:r w:rsidR="00AC640D"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30 000,00</w:t>
            </w:r>
          </w:p>
        </w:tc>
        <w:tc>
          <w:tcPr>
            <w:tcW w:w="969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7,9,10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210 000</w:t>
            </w:r>
            <w:r w:rsidR="00AC640D"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30 000,00</w:t>
            </w:r>
          </w:p>
        </w:tc>
        <w:tc>
          <w:tcPr>
            <w:tcW w:w="969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14.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и проведение мероприятий (лекций, бесед, встреч, распространение информационных материалов) по профилактике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7,9,10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15.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Организация обучения не менее 2-х специалистов государственного автономного учреждения Свердловской области «Комплексный центр социального обслуживания населения г. Нижняя Салда»  обеспечивающих проведение профилактических мероприятий вопросам ВИЧ-инфекции  на базе Государственного бюджетного учреждения здравоохранения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Свердловской области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16.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proofErr w:type="gram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специалистов учреждения, обеспечивающих проведение профилактических мероприятий методическими и информационными материалами через Государственного бюджетного учреждения здравоохранения Свердловской области «Свердловский областной центр по профилактике и борьбе со СПИД и инфекционными заболеваниями»</w:t>
            </w:r>
            <w:proofErr w:type="gramEnd"/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9,10,11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17.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9,10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18.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19.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скрининговых</w:t>
            </w:r>
            <w:proofErr w:type="spell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20.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 xml:space="preserve">консультирования ВИЧ-инфицированных пациентов у нарколога, фтизиатра, </w:t>
            </w:r>
            <w:proofErr w:type="spell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дерматовенеролога</w:t>
            </w:r>
            <w:proofErr w:type="spell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26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21.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22.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23.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24.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экспресс-тестами</w:t>
            </w:r>
            <w:proofErr w:type="gram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всех медицинских работников средствами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индивидуальной защиты.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31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26.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32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27.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контроля за</w:t>
            </w:r>
            <w:proofErr w:type="gram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rPr>
          <w:trHeight w:val="3392"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28. 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 закона от 21 ноября 2011 года № 323-ФЗ «Об основах охраны здоровья граждан в Российской Федерации»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34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29.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30.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Привлечение средств массовой информации для проведения разъяснительной работы среди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31. 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городского округа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32.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</w:t>
            </w:r>
            <w:r w:rsidR="00E6101F"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              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№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7,9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33.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7,10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34.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40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35.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на территории городского округа «телефона доверия»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41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36. 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</w:tr>
      <w:tr w:rsidR="00F24557" w:rsidRPr="009561A8" w:rsidTr="00AC640D">
        <w:tc>
          <w:tcPr>
            <w:tcW w:w="960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42</w:t>
            </w:r>
          </w:p>
        </w:tc>
        <w:tc>
          <w:tcPr>
            <w:tcW w:w="2874" w:type="dxa"/>
          </w:tcPr>
          <w:p w:rsidR="00F24557" w:rsidRPr="009561A8" w:rsidRDefault="00F24557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37.</w:t>
            </w:r>
          </w:p>
          <w:p w:rsidR="00F24557" w:rsidRPr="009561A8" w:rsidRDefault="00F24557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F24557" w:rsidRPr="009E5960" w:rsidRDefault="009E5960" w:rsidP="0080197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 xml:space="preserve">293 </w:t>
            </w:r>
            <w:r w:rsidR="00F24557" w:rsidRPr="009E5960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="00801974" w:rsidRPr="009E5960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="00F24557" w:rsidRPr="009E5960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F24557" w:rsidRPr="009561A8" w:rsidRDefault="00F24557" w:rsidP="00C04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F24557" w:rsidRPr="009561A8" w:rsidRDefault="00801974" w:rsidP="00C04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80 000</w:t>
            </w:r>
            <w:r w:rsidR="00F24557"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F24557" w:rsidRPr="009561A8" w:rsidRDefault="00F24557" w:rsidP="0080197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 w:rsidR="00801974"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801974" w:rsidRPr="009561A8" w:rsidTr="00AC640D">
        <w:tc>
          <w:tcPr>
            <w:tcW w:w="960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43</w:t>
            </w:r>
          </w:p>
        </w:tc>
        <w:tc>
          <w:tcPr>
            <w:tcW w:w="2874" w:type="dxa"/>
          </w:tcPr>
          <w:p w:rsidR="00801974" w:rsidRPr="009561A8" w:rsidRDefault="00801974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801974" w:rsidRPr="009E5960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  <w:r w:rsidR="009E5960" w:rsidRPr="009E5960">
              <w:rPr>
                <w:rFonts w:ascii="Liberation Serif" w:hAnsi="Liberation Serif"/>
                <w:color w:val="000000" w:themeColor="text1"/>
                <w:sz w:val="20"/>
              </w:rPr>
              <w:t xml:space="preserve">93 </w:t>
            </w: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  <w:r w:rsidR="009E5960" w:rsidRPr="009E5960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E5960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8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801974" w:rsidRPr="009561A8" w:rsidRDefault="00801974" w:rsidP="00C04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801974" w:rsidRPr="009561A8" w:rsidRDefault="00801974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80 000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801974" w:rsidRPr="009561A8" w:rsidRDefault="00801974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E6101F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735B"/>
    <w:rsid w:val="00012401"/>
    <w:rsid w:val="0022140F"/>
    <w:rsid w:val="00251AA1"/>
    <w:rsid w:val="00315A3F"/>
    <w:rsid w:val="0032095F"/>
    <w:rsid w:val="0032118B"/>
    <w:rsid w:val="0038735B"/>
    <w:rsid w:val="003B6DE5"/>
    <w:rsid w:val="004847A4"/>
    <w:rsid w:val="004E4DF4"/>
    <w:rsid w:val="004F5F0E"/>
    <w:rsid w:val="00535EFC"/>
    <w:rsid w:val="00576A27"/>
    <w:rsid w:val="005A2D13"/>
    <w:rsid w:val="005A6B2A"/>
    <w:rsid w:val="005B4572"/>
    <w:rsid w:val="005C702F"/>
    <w:rsid w:val="00600577"/>
    <w:rsid w:val="00686B98"/>
    <w:rsid w:val="006C655D"/>
    <w:rsid w:val="00730456"/>
    <w:rsid w:val="00750696"/>
    <w:rsid w:val="00770227"/>
    <w:rsid w:val="00774ADF"/>
    <w:rsid w:val="007C36D5"/>
    <w:rsid w:val="00801974"/>
    <w:rsid w:val="008037CB"/>
    <w:rsid w:val="008137CB"/>
    <w:rsid w:val="00827E4B"/>
    <w:rsid w:val="008C5184"/>
    <w:rsid w:val="008D23A6"/>
    <w:rsid w:val="008E7FFC"/>
    <w:rsid w:val="009561A8"/>
    <w:rsid w:val="009911B7"/>
    <w:rsid w:val="009E5960"/>
    <w:rsid w:val="009F5D35"/>
    <w:rsid w:val="00AA0F62"/>
    <w:rsid w:val="00AB5635"/>
    <w:rsid w:val="00AC640D"/>
    <w:rsid w:val="00B33441"/>
    <w:rsid w:val="00C043B0"/>
    <w:rsid w:val="00C11A26"/>
    <w:rsid w:val="00CF7E89"/>
    <w:rsid w:val="00D25691"/>
    <w:rsid w:val="00E60F44"/>
    <w:rsid w:val="00E6101F"/>
    <w:rsid w:val="00EC7BCE"/>
    <w:rsid w:val="00EF1FDA"/>
    <w:rsid w:val="00F24557"/>
    <w:rsid w:val="00F317E3"/>
    <w:rsid w:val="00F61A1B"/>
    <w:rsid w:val="00F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BA89-B2B8-4C27-A0A9-0A82C94D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2018-12-11T09:42:00Z</cp:lastPrinted>
  <dcterms:created xsi:type="dcterms:W3CDTF">2021-01-12T11:33:00Z</dcterms:created>
  <dcterms:modified xsi:type="dcterms:W3CDTF">2021-01-12T11:33:00Z</dcterms:modified>
</cp:coreProperties>
</file>