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1" w:rsidRDefault="004D7AA1" w:rsidP="004D7AA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03B38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28.12.2016 № 1180, от 02.03.2017 № 170,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01.06.2017 № 405, от 28.06.2017 № 467, от 04.08.2017 № 583, от 28.12.2017 № 1034, от 25.06.2018         № 454, от 10.12.2018 № 914).</w:t>
      </w:r>
      <w:proofErr w:type="gramEnd"/>
    </w:p>
    <w:p w:rsidR="004D7AA1" w:rsidRDefault="004D7AA1" w:rsidP="004D7AA1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8"/>
        <w:gridCol w:w="2381"/>
        <w:gridCol w:w="2529"/>
        <w:gridCol w:w="2283"/>
      </w:tblGrid>
      <w:tr w:rsidR="004D7AA1" w:rsidTr="00201EC0"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>
              <w:rPr>
                <w:sz w:val="28"/>
                <w:szCs w:val="28"/>
              </w:rPr>
              <w:t>01.2019</w:t>
            </w:r>
            <w:r w:rsidRPr="001E309D">
              <w:rPr>
                <w:sz w:val="28"/>
                <w:szCs w:val="28"/>
              </w:rPr>
              <w:t>,</w:t>
            </w:r>
          </w:p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4D7AA1" w:rsidRPr="001F0556" w:rsidTr="00201EC0"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80 761,966</w:t>
            </w:r>
          </w:p>
        </w:tc>
        <w:tc>
          <w:tcPr>
            <w:tcW w:w="2695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30 747,157</w:t>
            </w:r>
          </w:p>
        </w:tc>
        <w:tc>
          <w:tcPr>
            <w:tcW w:w="237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38,07</w:t>
            </w:r>
          </w:p>
        </w:tc>
      </w:tr>
      <w:tr w:rsidR="004D7AA1" w:rsidTr="00201EC0"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61 627,213</w:t>
            </w:r>
          </w:p>
        </w:tc>
        <w:tc>
          <w:tcPr>
            <w:tcW w:w="2695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16 626,406</w:t>
            </w:r>
          </w:p>
        </w:tc>
        <w:tc>
          <w:tcPr>
            <w:tcW w:w="237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26,98</w:t>
            </w:r>
          </w:p>
        </w:tc>
      </w:tr>
      <w:tr w:rsidR="004D7AA1" w:rsidTr="00201EC0"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19 134,753</w:t>
            </w:r>
          </w:p>
        </w:tc>
        <w:tc>
          <w:tcPr>
            <w:tcW w:w="2695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14 120,751</w:t>
            </w:r>
          </w:p>
        </w:tc>
        <w:tc>
          <w:tcPr>
            <w:tcW w:w="2374" w:type="dxa"/>
          </w:tcPr>
          <w:p w:rsidR="004D7AA1" w:rsidRPr="001E309D" w:rsidRDefault="004D7AA1" w:rsidP="00201EC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73,80</w:t>
            </w:r>
          </w:p>
        </w:tc>
      </w:tr>
    </w:tbl>
    <w:p w:rsidR="004D7AA1" w:rsidRDefault="004D7AA1" w:rsidP="004D7AA1">
      <w:pPr>
        <w:pStyle w:val="a3"/>
        <w:spacing w:after="0"/>
        <w:ind w:left="709"/>
        <w:jc w:val="both"/>
        <w:rPr>
          <w:sz w:val="28"/>
          <w:szCs w:val="28"/>
        </w:rPr>
      </w:pP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пяти подпрограмм. 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4D7AA1" w:rsidRPr="007E7156" w:rsidRDefault="004D7AA1" w:rsidP="004D7AA1">
      <w:pPr>
        <w:pStyle w:val="a3"/>
        <w:spacing w:after="0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</w:t>
      </w:r>
      <w:r>
        <w:rPr>
          <w:i/>
          <w:sz w:val="28"/>
          <w:szCs w:val="28"/>
        </w:rPr>
        <w:t>освоено 1 092,154 тыс. рублей (97,98% от бюджетных назначений), в том числе: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оплату взносов за капитальный ремонт общего имущества муниципального жилищного фонда в Региональный фонд содействия капитальному ремонту.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</w:p>
    <w:p w:rsidR="004D7AA1" w:rsidRPr="00DA07C5" w:rsidRDefault="004D7AA1" w:rsidP="004D7AA1">
      <w:pPr>
        <w:pStyle w:val="a3"/>
        <w:spacing w:after="0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>По подпрограмме «Развитие благоустройства в городском округе Нижняя Салда на 2</w:t>
      </w:r>
      <w:r>
        <w:rPr>
          <w:i/>
          <w:sz w:val="28"/>
          <w:szCs w:val="28"/>
        </w:rPr>
        <w:t>014 – 2022 годы» освоено 9 553,430</w:t>
      </w:r>
      <w:r w:rsidRPr="00DA07C5">
        <w:rPr>
          <w:i/>
          <w:sz w:val="28"/>
          <w:szCs w:val="28"/>
        </w:rPr>
        <w:t xml:space="preserve"> тыс. рублей (</w:t>
      </w:r>
      <w:r>
        <w:rPr>
          <w:i/>
          <w:sz w:val="28"/>
          <w:szCs w:val="28"/>
        </w:rPr>
        <w:t>97,61% от бюджетных назначений), в том числе: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(3 581,872 тыс. рублей);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(2 900,000 тыс. рублей);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оплата по муниципальному контракту за санитарную уборку городского округа Нижняя Салда в размере 2 177,969 тыс. рублей;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был произведен отлов бродячих собак – 67 собак (161,868 тыс. рублей);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 (700,000 тыс. рублей) – ликвидировано 8 свалок.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</w:p>
    <w:p w:rsidR="004D7AA1" w:rsidRPr="00F42400" w:rsidRDefault="004D7AA1" w:rsidP="004D7AA1">
      <w:pPr>
        <w:pStyle w:val="a3"/>
        <w:spacing w:after="0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на 2014 – 2022 годы» </w:t>
      </w:r>
      <w:r>
        <w:rPr>
          <w:i/>
          <w:sz w:val="28"/>
          <w:szCs w:val="28"/>
        </w:rPr>
        <w:t>освоено 400,000 тыс. рублей (100,00% от бюджетных назначений):</w:t>
      </w:r>
      <w:r w:rsidRPr="00F42400">
        <w:rPr>
          <w:i/>
          <w:sz w:val="28"/>
          <w:szCs w:val="28"/>
        </w:rPr>
        <w:t xml:space="preserve"> 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произведена оплата по муниципальному контракту с МУП «Чистый город» на содержание малых архитектурных форм (содержание детских площадок) (400,000 тыс. рублей).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</w:p>
    <w:p w:rsidR="004D7AA1" w:rsidRPr="00DD6623" w:rsidRDefault="004D7AA1" w:rsidP="004D7AA1">
      <w:pPr>
        <w:pStyle w:val="a3"/>
        <w:spacing w:after="0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</w:t>
      </w:r>
      <w:r>
        <w:rPr>
          <w:i/>
          <w:sz w:val="28"/>
          <w:szCs w:val="28"/>
        </w:rPr>
        <w:t xml:space="preserve">освоено 15 156,346 тыс. рублей (73,88% от бюджетных назначений), в том числе: 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за работы по строительству наружного газопровода низкого давления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Нижняя Салда, по участкам улиц: </w:t>
      </w:r>
      <w:proofErr w:type="gramStart"/>
      <w:r>
        <w:rPr>
          <w:sz w:val="28"/>
          <w:szCs w:val="28"/>
        </w:rPr>
        <w:t xml:space="preserve">Фрунзе, Победы, Октябрьской революции, Металлургов, Заводская, </w:t>
      </w:r>
      <w:proofErr w:type="spellStart"/>
      <w:r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, Володарского, Стеклова, Энгельса, Волкова, Свердлова, Горького, пер. Январский, Ленина, Карла Маркса, Демьяна Бедного, Карла Либкнехта, Урицкого; по участкам улиц: пер. Коммунаров, Кузьмина, Терешковой, Парижской Коммуны (15 054,916 тыс. рублей);</w:t>
      </w:r>
      <w:proofErr w:type="gramEnd"/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оплата штрафных санкций за невыполнение в полном объеме показателей результативности, определенных в Соглашении (101,430 тыс. рублей).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</w:p>
    <w:p w:rsidR="004D7AA1" w:rsidRPr="00D423F8" w:rsidRDefault="004D7AA1" w:rsidP="004D7AA1">
      <w:pPr>
        <w:pStyle w:val="a3"/>
        <w:spacing w:after="0"/>
        <w:jc w:val="both"/>
        <w:rPr>
          <w:i/>
          <w:sz w:val="28"/>
          <w:szCs w:val="28"/>
        </w:rPr>
      </w:pPr>
      <w:r w:rsidRPr="00D423F8">
        <w:rPr>
          <w:i/>
          <w:sz w:val="28"/>
          <w:szCs w:val="28"/>
        </w:rPr>
        <w:t>По подпрограмме «</w:t>
      </w:r>
      <w:r>
        <w:rPr>
          <w:i/>
          <w:sz w:val="28"/>
          <w:szCs w:val="28"/>
        </w:rPr>
        <w:t>Реконструкция и модернизация объектов жилищно-коммунального хозяйства в городском округе Нижняя Салда</w:t>
      </w:r>
      <w:r w:rsidRPr="00D423F8">
        <w:rPr>
          <w:i/>
          <w:sz w:val="28"/>
          <w:szCs w:val="28"/>
        </w:rPr>
        <w:t xml:space="preserve">» освоено </w:t>
      </w:r>
      <w:r>
        <w:rPr>
          <w:i/>
          <w:sz w:val="28"/>
          <w:szCs w:val="28"/>
        </w:rPr>
        <w:t>4 545,227</w:t>
      </w:r>
      <w:r w:rsidRPr="00D423F8">
        <w:rPr>
          <w:i/>
          <w:sz w:val="28"/>
          <w:szCs w:val="28"/>
        </w:rPr>
        <w:t xml:space="preserve"> тыс. рублей (</w:t>
      </w:r>
      <w:r>
        <w:rPr>
          <w:i/>
          <w:sz w:val="28"/>
          <w:szCs w:val="28"/>
        </w:rPr>
        <w:t>9,29</w:t>
      </w:r>
      <w:r w:rsidRPr="00D423F8">
        <w:rPr>
          <w:i/>
          <w:sz w:val="28"/>
          <w:szCs w:val="28"/>
        </w:rPr>
        <w:t>% от бюджетных назначений), в том числе: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 w:rsidRPr="00D423F8">
        <w:rPr>
          <w:sz w:val="28"/>
          <w:szCs w:val="28"/>
        </w:rPr>
        <w:t xml:space="preserve">- произведена частичная оплата </w:t>
      </w:r>
      <w:r>
        <w:rPr>
          <w:sz w:val="28"/>
          <w:szCs w:val="28"/>
        </w:rPr>
        <w:t xml:space="preserve">в размере 1 295,876 тыс. рублей </w:t>
      </w:r>
      <w:r w:rsidRPr="00D423F8">
        <w:rPr>
          <w:sz w:val="28"/>
          <w:szCs w:val="28"/>
        </w:rPr>
        <w:t>по заключенным муниципальным контрактам на выполнение работ на подключение объекта капитального строительства газоснабжения проектируемых газовых котельных (ул. К. Либкнехта, 79б, ул. Фрунзе, 12</w:t>
      </w:r>
      <w:r>
        <w:rPr>
          <w:sz w:val="28"/>
          <w:szCs w:val="28"/>
        </w:rPr>
        <w:t>а</w:t>
      </w:r>
      <w:r w:rsidRPr="00D423F8">
        <w:rPr>
          <w:sz w:val="28"/>
          <w:szCs w:val="28"/>
        </w:rPr>
        <w:t>, ул. Строителей, 2а</w:t>
      </w:r>
      <w:r>
        <w:rPr>
          <w:sz w:val="28"/>
          <w:szCs w:val="28"/>
        </w:rPr>
        <w:t>, ул. Д.Бедного, 12а, ул. Луначарского, 145а</w:t>
      </w:r>
      <w:r w:rsidRPr="00D423F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оплата по двум муниципальным контрактам за разработку проектно-сметной документации и государственной экспертизы проектов монтажа блочных газовых котельных (БГК ул. Д. Бедного, 12а, БГК ул. Луначарского, 145а) – 3 200,000 тыс. рублей;</w:t>
      </w:r>
    </w:p>
    <w:p w:rsidR="004D7AA1" w:rsidRDefault="004D7AA1" w:rsidP="004D7A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частичная оплата по договорам об осуществлении технологического присоединения к электрическим сетям 6 БГК в размере 49,351 тыс. рублей (БГК ул. Д. Бедного, 12а, БГК ул. Луначарского, 145а, БКГ ул. Строителей, 2а, БКГ ул. Фрунзе, 12а, БКГ ул. К. Либкнехта, 79б, БКГ ул. Энгельса, 2).</w:t>
      </w:r>
    </w:p>
    <w:p w:rsidR="00527CD3" w:rsidRDefault="00527CD3"/>
    <w:sectPr w:rsidR="00527CD3" w:rsidSect="0052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A1"/>
    <w:rsid w:val="004D7AA1"/>
    <w:rsid w:val="005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4D7A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rsid w:val="004D7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2019-07-03T06:33:00Z</dcterms:created>
  <dcterms:modified xsi:type="dcterms:W3CDTF">2019-07-03T06:33:00Z</dcterms:modified>
</cp:coreProperties>
</file>