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B8" w:rsidRPr="003E06B8" w:rsidRDefault="003E06B8" w:rsidP="003E06B8">
      <w:pPr>
        <w:shd w:val="clear" w:color="auto" w:fill="FFFFFF"/>
        <w:spacing w:after="75" w:line="240" w:lineRule="auto"/>
        <w:outlineLvl w:val="0"/>
        <w:rPr>
          <w:rFonts w:ascii="Arial" w:eastAsia="Times New Roman" w:hAnsi="Arial" w:cs="Arial"/>
          <w:color w:val="000000"/>
          <w:kern w:val="36"/>
          <w:sz w:val="39"/>
          <w:szCs w:val="39"/>
          <w:lang w:eastAsia="ru-RU"/>
        </w:rPr>
      </w:pPr>
      <w:r w:rsidRPr="003E06B8">
        <w:rPr>
          <w:rFonts w:ascii="Arial" w:eastAsia="Times New Roman" w:hAnsi="Arial" w:cs="Arial"/>
          <w:color w:val="000000"/>
          <w:kern w:val="36"/>
          <w:sz w:val="39"/>
          <w:szCs w:val="39"/>
          <w:lang w:eastAsia="ru-RU"/>
        </w:rPr>
        <w:t>История развития Международной организации гражданской обороны</w:t>
      </w:r>
    </w:p>
    <w:p w:rsidR="003E06B8" w:rsidRPr="003E06B8" w:rsidRDefault="003E06B8" w:rsidP="003E06B8">
      <w:pPr>
        <w:spacing w:before="150" w:after="150" w:line="408" w:lineRule="atLeast"/>
        <w:ind w:left="75" w:right="75"/>
        <w:rPr>
          <w:rFonts w:ascii="Times New Roman" w:eastAsia="Times New Roman" w:hAnsi="Times New Roman" w:cs="Times New Roman"/>
          <w:sz w:val="24"/>
          <w:szCs w:val="24"/>
          <w:lang w:eastAsia="ru-RU"/>
        </w:rPr>
      </w:pPr>
      <w:r w:rsidRPr="003E06B8">
        <w:rPr>
          <w:rFonts w:ascii="Times New Roman" w:eastAsia="Times New Roman" w:hAnsi="Times New Roman" w:cs="Times New Roman"/>
          <w:sz w:val="24"/>
          <w:szCs w:val="24"/>
          <w:lang w:eastAsia="ru-RU"/>
        </w:rPr>
        <w:t xml:space="preserve">История развития международной организации гражданской обороны (МОГО) В 1931 г. французский генерал медицинской службы </w:t>
      </w:r>
      <w:proofErr w:type="spellStart"/>
      <w:r w:rsidRPr="003E06B8">
        <w:rPr>
          <w:rFonts w:ascii="Times New Roman" w:eastAsia="Times New Roman" w:hAnsi="Times New Roman" w:cs="Times New Roman"/>
          <w:sz w:val="24"/>
          <w:szCs w:val="24"/>
          <w:lang w:eastAsia="ru-RU"/>
        </w:rPr>
        <w:t>Джорж</w:t>
      </w:r>
      <w:proofErr w:type="spellEnd"/>
      <w:r w:rsidRPr="003E06B8">
        <w:rPr>
          <w:rFonts w:ascii="Times New Roman" w:eastAsia="Times New Roman" w:hAnsi="Times New Roman" w:cs="Times New Roman"/>
          <w:sz w:val="24"/>
          <w:szCs w:val="24"/>
          <w:lang w:eastAsia="ru-RU"/>
        </w:rPr>
        <w:t xml:space="preserve"> </w:t>
      </w:r>
      <w:proofErr w:type="spellStart"/>
      <w:r w:rsidRPr="003E06B8">
        <w:rPr>
          <w:rFonts w:ascii="Times New Roman" w:eastAsia="Times New Roman" w:hAnsi="Times New Roman" w:cs="Times New Roman"/>
          <w:sz w:val="24"/>
          <w:szCs w:val="24"/>
          <w:lang w:eastAsia="ru-RU"/>
        </w:rPr>
        <w:t>Сант</w:t>
      </w:r>
      <w:proofErr w:type="spellEnd"/>
      <w:r w:rsidRPr="003E06B8">
        <w:rPr>
          <w:rFonts w:ascii="Times New Roman" w:eastAsia="Times New Roman" w:hAnsi="Times New Roman" w:cs="Times New Roman"/>
          <w:sz w:val="24"/>
          <w:szCs w:val="24"/>
          <w:lang w:eastAsia="ru-RU"/>
        </w:rPr>
        <w:t xml:space="preserve">-Пол основал в Париже организацию "Ассоциация Женевских зон", которая в последствии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 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В 1935 г.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в соответствии с соглашениями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 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3E06B8">
        <w:rPr>
          <w:rFonts w:ascii="Times New Roman" w:eastAsia="Times New Roman" w:hAnsi="Times New Roman" w:cs="Times New Roman"/>
          <w:sz w:val="24"/>
          <w:szCs w:val="24"/>
          <w:lang w:eastAsia="ru-RU"/>
        </w:rPr>
        <w:t>Джорж</w:t>
      </w:r>
      <w:proofErr w:type="spellEnd"/>
      <w:r w:rsidRPr="003E06B8">
        <w:rPr>
          <w:rFonts w:ascii="Times New Roman" w:eastAsia="Times New Roman" w:hAnsi="Times New Roman" w:cs="Times New Roman"/>
          <w:sz w:val="24"/>
          <w:szCs w:val="24"/>
          <w:lang w:eastAsia="ru-RU"/>
        </w:rPr>
        <w:t xml:space="preserve"> возглавил Ассоциацию и стал её Генеральным секретарем. Именно по инициативе Генри </w:t>
      </w:r>
      <w:proofErr w:type="spellStart"/>
      <w:r w:rsidRPr="003E06B8">
        <w:rPr>
          <w:rFonts w:ascii="Times New Roman" w:eastAsia="Times New Roman" w:hAnsi="Times New Roman" w:cs="Times New Roman"/>
          <w:sz w:val="24"/>
          <w:szCs w:val="24"/>
          <w:lang w:eastAsia="ru-RU"/>
        </w:rPr>
        <w:t>Джоржа</w:t>
      </w:r>
      <w:proofErr w:type="spellEnd"/>
      <w:r w:rsidRPr="003E06B8">
        <w:rPr>
          <w:rFonts w:ascii="Times New Roman" w:eastAsia="Times New Roman" w:hAnsi="Times New Roman" w:cs="Times New Roman"/>
          <w:sz w:val="24"/>
          <w:szCs w:val="24"/>
          <w:lang w:eastAsia="ru-RU"/>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Не смотря на то, что этот опыт оказался относительно небольшим, была продемонстрирована реальность существования безопасных зон для мирного населения. 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 Используя защиту, предоставленную Женевскими конвенциями, Секретариат "Женевских зон" приступил к изучению и подготовке потенциальных безопасных зон. 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 в Берлине прошла Международная конференция по защите гражданского населения в военное время путем создания и признания нейтральных зон и открытых </w:t>
      </w:r>
      <w:r w:rsidRPr="003E06B8">
        <w:rPr>
          <w:rFonts w:ascii="Times New Roman" w:eastAsia="Times New Roman" w:hAnsi="Times New Roman" w:cs="Times New Roman"/>
          <w:sz w:val="24"/>
          <w:szCs w:val="24"/>
          <w:lang w:eastAsia="ru-RU"/>
        </w:rPr>
        <w:lastRenderedPageBreak/>
        <w:t xml:space="preserve">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учреждениями и организациями гражданской обороны, которые были созданы в странах перед лицом угрозы нового крупномасштабного конфликта. В июле 1956 г.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 различными национальными организациями гражданской обороны". Вторая международная конференция по гражданской обороне состоялась в 1957 г.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 В январе 1958 г.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 На международной конференция по радиологической защите в 1966 г.,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 В Уставе определены главные задачи Организации: "Интенсификация и координация во </w:t>
      </w:r>
      <w:r w:rsidRPr="003E06B8">
        <w:rPr>
          <w:rFonts w:ascii="Times New Roman" w:eastAsia="Times New Roman" w:hAnsi="Times New Roman" w:cs="Times New Roman"/>
          <w:sz w:val="24"/>
          <w:szCs w:val="24"/>
          <w:lang w:eastAsia="ru-RU"/>
        </w:rPr>
        <w:lastRenderedPageBreak/>
        <w:t xml:space="preserve">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 Первой Генеральной Ассамблеи стран-членов Организации. В 1975 г. данный Устав был зарегистрирован в Секретариате ООН в Нью-Йорке и опубликован в Сборнике соглашений ООН. 10 марта 1976 г.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 Устав 1966 г. возложил на Организацию ряд задач по 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 2034 от 1965 г.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 Используя юридическую основу, свой статус и международный Гуманитарный закон, руководящие органы МОГО проводили и проводят всеми доступными способами 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w:t>
      </w:r>
      <w:proofErr w:type="spellStart"/>
      <w:r w:rsidRPr="003E06B8">
        <w:rPr>
          <w:rFonts w:ascii="Times New Roman" w:eastAsia="Times New Roman" w:hAnsi="Times New Roman" w:cs="Times New Roman"/>
          <w:sz w:val="24"/>
          <w:szCs w:val="24"/>
          <w:lang w:eastAsia="ru-RU"/>
        </w:rPr>
        <w:t>Монтре</w:t>
      </w:r>
      <w:proofErr w:type="spellEnd"/>
      <w:r w:rsidRPr="003E06B8">
        <w:rPr>
          <w:rFonts w:ascii="Times New Roman" w:eastAsia="Times New Roman" w:hAnsi="Times New Roman" w:cs="Times New Roman"/>
          <w:sz w:val="24"/>
          <w:szCs w:val="24"/>
          <w:lang w:eastAsia="ru-RU"/>
        </w:rPr>
        <w:t xml:space="preserve"> 1961, Женева 1963, Женева 1972, Каракас 1974, Тунис 1978, Рабат 1980, Амман 1994, Пекин 1998). Прием в члены Организации открыт для всех государств. В настоящее время членами Организации являются: 50 государств членов МОГО; 16 государств наблюдателей МОГО; 13 ассоциированных членов. Работа МОГО организуется Генеральной Ассамблеей, Исполнительным советом и Секретариатом. Генеральная Ассамблея является высшим органом Организации и состоит из делегатов, представляющих государства-члены. Каждое государство-член предоставлено одним делегатом.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сессии определяется Советом.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w:t>
      </w:r>
      <w:r w:rsidRPr="003E06B8">
        <w:rPr>
          <w:rFonts w:ascii="Times New Roman" w:eastAsia="Times New Roman" w:hAnsi="Times New Roman" w:cs="Times New Roman"/>
          <w:sz w:val="24"/>
          <w:szCs w:val="24"/>
          <w:lang w:eastAsia="ru-RU"/>
        </w:rPr>
        <w:lastRenderedPageBreak/>
        <w:t>избрания их преемников. Исполнительный совет является исполнительным органом Организации.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Члены Совета избираются сроком на четыре года, половина членов переизбирается каждые два года. Совет проводит свои заседания не реже одного раза в год и определяет место проведения каждого своего заседания. Совет избирает своего председателя и заместителя председателя из числа своих членов. Секретариат Организации состоит из Генерального секретаря и такого технического и административного персонала, который может потребоваться для работы Организации.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Генеральный секретарь по должности является секретарем Ассамблеи и Совета и присутствует на всех комиссиях Организации. Генеральный секретарь ежегодно составляет и представляет Совету финансовые отчеты и бюджетные сметы Организации. МОГО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организациями, подлежит утверждению Исполнительным советом. В последние десятилетия деятельность МОГО все больше связана с проблемами мирного времени, что позволяет скорее говорить о гражданской защите населения, чем о гражданской обороне. При этом следует учитывать, что лексически используемые в названиях национальных служб термины «</w:t>
      </w:r>
      <w:proofErr w:type="spellStart"/>
      <w:r w:rsidRPr="003E06B8">
        <w:rPr>
          <w:rFonts w:ascii="Times New Roman" w:eastAsia="Times New Roman" w:hAnsi="Times New Roman" w:cs="Times New Roman"/>
          <w:sz w:val="24"/>
          <w:szCs w:val="24"/>
          <w:lang w:eastAsia="ru-RU"/>
        </w:rPr>
        <w:t>Civil</w:t>
      </w:r>
      <w:proofErr w:type="spellEnd"/>
      <w:r w:rsidRPr="003E06B8">
        <w:rPr>
          <w:rFonts w:ascii="Times New Roman" w:eastAsia="Times New Roman" w:hAnsi="Times New Roman" w:cs="Times New Roman"/>
          <w:sz w:val="24"/>
          <w:szCs w:val="24"/>
          <w:lang w:eastAsia="ru-RU"/>
        </w:rPr>
        <w:t xml:space="preserve"> </w:t>
      </w:r>
      <w:proofErr w:type="spellStart"/>
      <w:r w:rsidRPr="003E06B8">
        <w:rPr>
          <w:rFonts w:ascii="Times New Roman" w:eastAsia="Times New Roman" w:hAnsi="Times New Roman" w:cs="Times New Roman"/>
          <w:sz w:val="24"/>
          <w:szCs w:val="24"/>
          <w:lang w:eastAsia="ru-RU"/>
        </w:rPr>
        <w:t>Protection</w:t>
      </w:r>
      <w:proofErr w:type="spellEnd"/>
      <w:r w:rsidRPr="003E06B8">
        <w:rPr>
          <w:rFonts w:ascii="Times New Roman" w:eastAsia="Times New Roman" w:hAnsi="Times New Roman" w:cs="Times New Roman"/>
          <w:sz w:val="24"/>
          <w:szCs w:val="24"/>
          <w:lang w:eastAsia="ru-RU"/>
        </w:rPr>
        <w:t>» или «</w:t>
      </w:r>
      <w:proofErr w:type="spellStart"/>
      <w:r w:rsidRPr="003E06B8">
        <w:rPr>
          <w:rFonts w:ascii="Times New Roman" w:eastAsia="Times New Roman" w:hAnsi="Times New Roman" w:cs="Times New Roman"/>
          <w:sz w:val="24"/>
          <w:szCs w:val="24"/>
          <w:lang w:eastAsia="ru-RU"/>
        </w:rPr>
        <w:t>Civil</w:t>
      </w:r>
      <w:proofErr w:type="spellEnd"/>
      <w:r w:rsidRPr="003E06B8">
        <w:rPr>
          <w:rFonts w:ascii="Times New Roman" w:eastAsia="Times New Roman" w:hAnsi="Times New Roman" w:cs="Times New Roman"/>
          <w:sz w:val="24"/>
          <w:szCs w:val="24"/>
          <w:lang w:eastAsia="ru-RU"/>
        </w:rPr>
        <w:t xml:space="preserve"> </w:t>
      </w:r>
      <w:proofErr w:type="spellStart"/>
      <w:r w:rsidRPr="003E06B8">
        <w:rPr>
          <w:rFonts w:ascii="Times New Roman" w:eastAsia="Times New Roman" w:hAnsi="Times New Roman" w:cs="Times New Roman"/>
          <w:sz w:val="24"/>
          <w:szCs w:val="24"/>
          <w:lang w:eastAsia="ru-RU"/>
        </w:rPr>
        <w:t>Defence</w:t>
      </w:r>
      <w:proofErr w:type="spellEnd"/>
      <w:r w:rsidRPr="003E06B8">
        <w:rPr>
          <w:rFonts w:ascii="Times New Roman" w:eastAsia="Times New Roman" w:hAnsi="Times New Roman" w:cs="Times New Roman"/>
          <w:sz w:val="24"/>
          <w:szCs w:val="24"/>
          <w:lang w:eastAsia="ru-RU"/>
        </w:rPr>
        <w:t xml:space="preserve">» имеют национальные службы гражданской обороны (защиты) вне подчинения национальных министерств обороны. В среднем только 6 стран из 30 имеют подчиненные министерствам обороны службы гражданской обороны; большинство служб гражданской обороны (защиты) стран-участниц МОГО, представляющих Африку и Азию, создавалось по образу и подобию служб своих бывших метрополий, не особенно вдаваясь в смысловую нагрузку названия службы — защита или оборона. Аналогичные тенденции, особенно после окончания периода холодной войны, прослеживаются и в других странах. Это нашло свое отражение в </w:t>
      </w:r>
      <w:proofErr w:type="spellStart"/>
      <w:r w:rsidRPr="003E06B8">
        <w:rPr>
          <w:rFonts w:ascii="Times New Roman" w:eastAsia="Times New Roman" w:hAnsi="Times New Roman" w:cs="Times New Roman"/>
          <w:sz w:val="24"/>
          <w:szCs w:val="24"/>
          <w:lang w:eastAsia="ru-RU"/>
        </w:rPr>
        <w:t>Амманской</w:t>
      </w:r>
      <w:proofErr w:type="spellEnd"/>
      <w:r w:rsidRPr="003E06B8">
        <w:rPr>
          <w:rFonts w:ascii="Times New Roman" w:eastAsia="Times New Roman" w:hAnsi="Times New Roman" w:cs="Times New Roman"/>
          <w:sz w:val="24"/>
          <w:szCs w:val="24"/>
          <w:lang w:eastAsia="ru-RU"/>
        </w:rPr>
        <w:t xml:space="preserve"> декларации, одобренной десятой Всемирной конференцией по гражданской защите, которая была организована МОГО. В ней предлагается дальнейшее расширение значения термина «гражданская оборона», использование его для обозначения соответствующей деятельности, как в военное, так и в мирное время. В последние годы </w:t>
      </w:r>
      <w:r w:rsidRPr="003E06B8">
        <w:rPr>
          <w:rFonts w:ascii="Times New Roman" w:eastAsia="Times New Roman" w:hAnsi="Times New Roman" w:cs="Times New Roman"/>
          <w:sz w:val="24"/>
          <w:szCs w:val="24"/>
          <w:lang w:eastAsia="ru-RU"/>
        </w:rPr>
        <w:lastRenderedPageBreak/>
        <w:t>наметилась отчетливая тенденция к постепенному переходу от термина «гражданская оборона» к термину «гражданская защита», что связано со значительной переориентацией большинства национальных и международных организаций, занимающихся данными вопросами, с задач военного характера на чрезвычайные ситуации мирного времени и оказание гуманитарной помощи в случае их возникновения. Политические изменения, произошедшие в последние годы на международной арене, и совершенствование задач, возлагаемых на органы гражданской обороны (как национальные, так и коалиционные), постепенно оказывают влияние и на движение этих организаций в сторону термина «гражданская защита». Прежде всего, речь идет о большинстве стран Западной, Центральной и Восточной Европы, где этот переход в целом уже завершен. В связи с 25-летием МОГО была учреждена медаль МОГО. Российская Федерация является членом МОГО с июня 1993 года. Представлять Россию в этой международной организации, Правительством Российской Федерации поручено Министерству Российской Федерации по делам гражданской обороны, чрезвычайным ситуациям и ликвидации последствий стихийных бедствий. Российская Федерация в лице МЧС России активно участвует в международной деятельности МОГО. Оценка положения дел в области сотрудничества МЧС России с этой организацией позволяет по</w:t>
      </w:r>
      <w:bookmarkStart w:id="0" w:name="_GoBack"/>
      <w:bookmarkEnd w:id="0"/>
      <w:r w:rsidRPr="003E06B8">
        <w:rPr>
          <w:rFonts w:ascii="Times New Roman" w:eastAsia="Times New Roman" w:hAnsi="Times New Roman" w:cs="Times New Roman"/>
          <w:sz w:val="24"/>
          <w:szCs w:val="24"/>
          <w:lang w:eastAsia="ru-RU"/>
        </w:rPr>
        <w:t xml:space="preserve">дтвердить необходимость укрепления отношений Российской Федерации с МОГО. В 2011 году по линии МЧС России, в дополнение к традиционным механизмам оказания гуманитарной помощи зарубежным государствам в рамках Концепции участия Российской Федерации в содействии международному развитию (поручение Президента Российской Федерации от 14 июня 2007 г. № Пр-1040), проводилась активная работа по реализации российских донорских взносов в фонды международных организаций с использованием многостороннего механизма содействия международному развитию (СМР), которое в числе прочего предполагает оказание гуманитарного содействия зарубежным государствам в различных формах (продовольственная помощь, гуманитарное разминирование, подготовка кадров, техническая помощь и др.). В соответствии с установками российского руководства за счет целевых российских взносов в фонд Международной организации гражданской обороны осуществлялись следующие проекты содействия в области гуманитарного разминирования: в Сербии – выполняется пятилетняя программа разминирования на период 2008 – 2012 годов, которая главным образом ориентирована на обеспечение реализации российско-сербских энергетических проектов. В 2008-2011 годах отряд во взаимодействии с Противоминным центром Сербии выполнял задания по разминированию участков в районе городов Ниш и </w:t>
      </w:r>
      <w:proofErr w:type="spellStart"/>
      <w:r w:rsidRPr="003E06B8">
        <w:rPr>
          <w:rFonts w:ascii="Times New Roman" w:eastAsia="Times New Roman" w:hAnsi="Times New Roman" w:cs="Times New Roman"/>
          <w:sz w:val="24"/>
          <w:szCs w:val="24"/>
          <w:lang w:eastAsia="ru-RU"/>
        </w:rPr>
        <w:t>Парачин</w:t>
      </w:r>
      <w:proofErr w:type="spellEnd"/>
      <w:r w:rsidRPr="003E06B8">
        <w:rPr>
          <w:rFonts w:ascii="Times New Roman" w:eastAsia="Times New Roman" w:hAnsi="Times New Roman" w:cs="Times New Roman"/>
          <w:sz w:val="24"/>
          <w:szCs w:val="24"/>
          <w:lang w:eastAsia="ru-RU"/>
        </w:rPr>
        <w:t xml:space="preserve">, через которые планируется </w:t>
      </w:r>
      <w:r w:rsidRPr="003E06B8">
        <w:rPr>
          <w:rFonts w:ascii="Times New Roman" w:eastAsia="Times New Roman" w:hAnsi="Times New Roman" w:cs="Times New Roman"/>
          <w:sz w:val="24"/>
          <w:szCs w:val="24"/>
          <w:lang w:eastAsia="ru-RU"/>
        </w:rPr>
        <w:lastRenderedPageBreak/>
        <w:t xml:space="preserve">прохождение будущей трассы газопровода «Южный поток». За этот период отрядом очищено и передано сербским властям около 2,7 млн. кв. м территорий. В ходе работ обнаружено и уничтожено свыше 2,0 тыс. неразорвавшихся боеприпасов, включая авиационные бомбы, артиллерийские снаряды и другие типы ВОП. При этом последние два года отряд функционирует как совместное подразделение, в котором плечом к плечу работают российские и сербские саперы; в Ливане - в течение 2010 – 2011 годов реализован проект по оказанию помощи в разминировании, в рамках которого осуществлена поставка в страну средств и имущества разминирования, включая современные минные тральщики; в Шри-Ланке – за счет средств российского целевого взноса в фонд МОГО в 2010-2011 годах реализован проект содействия в разминировании северных территорий страны: </w:t>
      </w:r>
      <w:proofErr w:type="spellStart"/>
      <w:r w:rsidRPr="003E06B8">
        <w:rPr>
          <w:rFonts w:ascii="Times New Roman" w:eastAsia="Times New Roman" w:hAnsi="Times New Roman" w:cs="Times New Roman"/>
          <w:sz w:val="24"/>
          <w:szCs w:val="24"/>
          <w:lang w:eastAsia="ru-RU"/>
        </w:rPr>
        <w:t>ланкийцам</w:t>
      </w:r>
      <w:proofErr w:type="spellEnd"/>
      <w:r w:rsidRPr="003E06B8">
        <w:rPr>
          <w:rFonts w:ascii="Times New Roman" w:eastAsia="Times New Roman" w:hAnsi="Times New Roman" w:cs="Times New Roman"/>
          <w:sz w:val="24"/>
          <w:szCs w:val="24"/>
          <w:lang w:eastAsia="ru-RU"/>
        </w:rPr>
        <w:t xml:space="preserve"> поставлено по 100 комплектов детекторов и средств защиты сапера, а также 4 комплекта минных тральщиков. В ноябре 2011 г. в Коломбо состоялась церемония торжественной передачи этих средств в дар </w:t>
      </w:r>
      <w:proofErr w:type="spellStart"/>
      <w:r w:rsidRPr="003E06B8">
        <w:rPr>
          <w:rFonts w:ascii="Times New Roman" w:eastAsia="Times New Roman" w:hAnsi="Times New Roman" w:cs="Times New Roman"/>
          <w:sz w:val="24"/>
          <w:szCs w:val="24"/>
          <w:lang w:eastAsia="ru-RU"/>
        </w:rPr>
        <w:t>ланкийской</w:t>
      </w:r>
      <w:proofErr w:type="spellEnd"/>
      <w:r w:rsidRPr="003E06B8">
        <w:rPr>
          <w:rFonts w:ascii="Times New Roman" w:eastAsia="Times New Roman" w:hAnsi="Times New Roman" w:cs="Times New Roman"/>
          <w:sz w:val="24"/>
          <w:szCs w:val="24"/>
          <w:lang w:eastAsia="ru-RU"/>
        </w:rPr>
        <w:t xml:space="preserve"> стороне с участием высокопоставленных представителей властей Шри-Ланки, руководства Посольства Российской Федерации, а также представителей МЧС России и МОГО. Общая освоенная в 2011 году сумма по проектам разминирования по линии МЧС России составила 14,17 млн. долларов. За счет целевых российских взносов в фонд МОГО осуществлялись проекты и по другим направлениям: в Никарагуа – с 2011 г. реализуется трехлетняя программа содействия Никарагуа в развитии национальной системы предупреждения и ликвидации чрезвычайных ситуаций с объемом финансирования 26,550 млн. долларов. Приоритетами этой программы определены модернизация национального центра борьбы с катастрофами, а также содействие в дооснащении сил гражданской защиты страны современными средствами и технологиями, включая поставку полевых палаток, мобильных медицинских госпиталей, пожарных машин и значительного количества спасательного оборудования и специального имущества. Отдельным приоритетно значимым направлением выделяется также создание в Никарагуа Международного центра гуманитарного разминирования, нацеленного на оказание помощи нуждающимся странам региона. К настоящему времени сформирована необходимая для реализации программы договорно-правовая база, размещены заказы на производство средств и начата их поставка в страну. В развитие данной программы в связи с обращением Президента Никарагуа </w:t>
      </w:r>
      <w:proofErr w:type="spellStart"/>
      <w:r w:rsidRPr="003E06B8">
        <w:rPr>
          <w:rFonts w:ascii="Times New Roman" w:eastAsia="Times New Roman" w:hAnsi="Times New Roman" w:cs="Times New Roman"/>
          <w:sz w:val="24"/>
          <w:szCs w:val="24"/>
          <w:lang w:eastAsia="ru-RU"/>
        </w:rPr>
        <w:t>Д.Ортеги</w:t>
      </w:r>
      <w:proofErr w:type="spellEnd"/>
      <w:r w:rsidRPr="003E06B8">
        <w:rPr>
          <w:rFonts w:ascii="Times New Roman" w:eastAsia="Times New Roman" w:hAnsi="Times New Roman" w:cs="Times New Roman"/>
          <w:sz w:val="24"/>
          <w:szCs w:val="24"/>
          <w:lang w:eastAsia="ru-RU"/>
        </w:rPr>
        <w:t xml:space="preserve"> по решению руководства Российской Федерации с конца 2011 г. развернут проект по оказанию Никарагуа дополнительной помощи в объеме 26,513 млн. долларов, в счет которых в Никарагуа в 2012 г. будет поставлена партия пожарных автомобилей российского производства в количестве 40 единиц и 4 комплекта полевых медицинских </w:t>
      </w:r>
      <w:r w:rsidRPr="003E06B8">
        <w:rPr>
          <w:rFonts w:ascii="Times New Roman" w:eastAsia="Times New Roman" w:hAnsi="Times New Roman" w:cs="Times New Roman"/>
          <w:sz w:val="24"/>
          <w:szCs w:val="24"/>
          <w:lang w:eastAsia="ru-RU"/>
        </w:rPr>
        <w:lastRenderedPageBreak/>
        <w:t xml:space="preserve">госпиталей. Таким образом, суммарный объем помощи, оказываемой Никарагуа по линии МЧС России в период 2011-2013 годов, составит более 53,0 млн. долларов, что дает возможность проведения глубокой модернизации всех основных компонентов национальной системы гражданской защиты страны. В 2011 году практическая деятельность в рамках МОГО была успешно продолжена. Являясь членом этой межправительственной организации с 1993 года, Российская Федерация в настоящее время стала крупнейшим донором МОГО, что позволяет МЧС России выполнять важнейшие проекты СМР и поддерживать профильную деятельность организации. Кроме того, МОГО является одним из ключевых партнеров МЧС России по развитию сотрудничества с государствами Ближнего Востока. По результатам 44-ой сессии Исполнительного комитета МОГО и развернутых консультаций России - МОГО через освоение российских взносов в МОГО реализуется проект по гуманитарному разминированию в Шри-Ланке с бюджетом 3,6 млн. долл. США, поставке стройматериалов в Киргизию для восстановления разрушенных городов ОШ и Джалал-Абад на сумму 5 млн. долл. и продовольствия в Афганистан на сумму 2 млн. долл., а также начата трехлетняя программа содействия Никарагуа в модернизации национальной системы предупреждения и ликвидации чрезвычайных ситуаций, включая создание центра гуманитарного разминирования (общий бюджет программы 26 млн. долл.). Помимо этого, продолжается реализация совместных проектов по подготовке кадров. В частности, при административном и методическом содействии МЧС России в ноябре–декабре 2011 г. на базе Оздоровительного комплекса «Спасатель» проведен международный учебный семинар МОГО «Методология психологической поддержки в чрезвычайных ситуациях» для представителей из стран СНГ. Также обеспечено участие представителей МЧС России в международных учебных курсах «Управление в чрезвычайных ситуациях» в Казахстане (июнь 2011 г.) и «Чрезвычайное реагирование на землетрясения» в Китае (октябрь- ноябрь 2011 г.). Резолюцией, принятой 18 декабря 1990 года, 9-я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 Всемирный день гражданской защиты преследует две главные цели: - привлечь внимание мировой общественности к значению Гражданской защиты и повысить готовность населения к самозащите в случае бедствий или аварий; - отдать дань уважения усилиям и самопожертвованию персонала национальных служб гражданской защиты в их борьбе с бедствиями. Всемирный день гражданской защиты используется для организации бесед, конференций, радио и телевизионных дебатов, </w:t>
      </w:r>
      <w:r w:rsidRPr="003E06B8">
        <w:rPr>
          <w:rFonts w:ascii="Times New Roman" w:eastAsia="Times New Roman" w:hAnsi="Times New Roman" w:cs="Times New Roman"/>
          <w:sz w:val="24"/>
          <w:szCs w:val="24"/>
          <w:lang w:eastAsia="ru-RU"/>
        </w:rPr>
        <w:lastRenderedPageBreak/>
        <w:t>открытых дней, учений, пропаганды знаний по гражданской защите и демонстрации имеющихся средств и оборудования по борьбе с бедствиями.</w:t>
      </w:r>
    </w:p>
    <w:p w:rsidR="00520351" w:rsidRDefault="00520351"/>
    <w:sectPr w:rsidR="00520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B8"/>
    <w:rsid w:val="003E06B8"/>
    <w:rsid w:val="0052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0899C-C661-45BE-A6FE-377FA2F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06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06B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06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7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2817</Words>
  <Characters>16060</Characters>
  <Application>Microsoft Office Word</Application>
  <DocSecurity>0</DocSecurity>
  <Lines>133</Lines>
  <Paragraphs>37</Paragraphs>
  <ScaleCrop>false</ScaleCrop>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2018-03-01T17:44:00Z</dcterms:created>
  <dcterms:modified xsi:type="dcterms:W3CDTF">2018-03-01T17:45:00Z</dcterms:modified>
</cp:coreProperties>
</file>